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DF" w:rsidRPr="009623F0" w:rsidRDefault="00E80D90" w:rsidP="00E80D90">
      <w:pPr>
        <w:pBdr>
          <w:bottom w:val="single" w:sz="4" w:space="1" w:color="auto"/>
        </w:pBdr>
        <w:rPr>
          <w:rFonts w:eastAsia="Times New Roman" w:cs="Calibri Light"/>
          <w:sz w:val="20"/>
          <w:lang w:val="el-GR"/>
        </w:rPr>
      </w:pPr>
      <w:r w:rsidRPr="009623F0">
        <w:rPr>
          <w:rFonts w:eastAsia="Times New Roman" w:cs="Calibri Light"/>
          <w:sz w:val="20"/>
          <w:lang w:val="el-GR"/>
        </w:rPr>
        <w:t xml:space="preserve"> </w:t>
      </w:r>
      <w:r w:rsidRPr="00693063">
        <w:rPr>
          <w:rFonts w:cs="Calibri Light"/>
          <w:noProof/>
          <w:lang w:val="en-US"/>
        </w:rPr>
        <w:drawing>
          <wp:inline distT="0" distB="0" distL="0" distR="0">
            <wp:extent cx="2600325" cy="1278126"/>
            <wp:effectExtent l="0" t="0" r="0" b="0"/>
            <wp:docPr id="2" name="Picture 2" descr="cid:image001.png@01D706B7.0151F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721945-C16F-4779-A274-E900DA0A1F2C" descr="cid:image001.png@01D706B7.0151F8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24156" cy="1289840"/>
                    </a:xfrm>
                    <a:prstGeom prst="rect">
                      <a:avLst/>
                    </a:prstGeom>
                    <a:noFill/>
                    <a:ln>
                      <a:noFill/>
                    </a:ln>
                  </pic:spPr>
                </pic:pic>
              </a:graphicData>
            </a:graphic>
          </wp:inline>
        </w:drawing>
      </w:r>
      <w:r w:rsidRPr="009623F0">
        <w:rPr>
          <w:rFonts w:eastAsia="Times New Roman" w:cs="Calibri Light"/>
          <w:sz w:val="20"/>
          <w:lang w:val="el-GR"/>
        </w:rPr>
        <w:tab/>
      </w:r>
      <w:r w:rsidRPr="009623F0">
        <w:rPr>
          <w:rFonts w:eastAsia="Times New Roman" w:cs="Calibri Light"/>
          <w:sz w:val="20"/>
          <w:lang w:val="el-GR"/>
        </w:rPr>
        <w:tab/>
        <w:t xml:space="preserve"> </w:t>
      </w:r>
      <w:r w:rsidRPr="00693063">
        <w:rPr>
          <w:rFonts w:eastAsia="Times New Roman" w:cs="Calibri Light"/>
          <w:noProof/>
          <w:sz w:val="20"/>
          <w:lang w:val="en-US"/>
        </w:rPr>
        <w:drawing>
          <wp:inline distT="0" distB="0" distL="0" distR="0" wp14:anchorId="2044164B" wp14:editId="6F180D97">
            <wp:extent cx="2529840" cy="105187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esl_logo_with_text v2 large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402" cy="1056678"/>
                    </a:xfrm>
                    <a:prstGeom prst="rect">
                      <a:avLst/>
                    </a:prstGeom>
                  </pic:spPr>
                </pic:pic>
              </a:graphicData>
            </a:graphic>
          </wp:inline>
        </w:drawing>
      </w:r>
    </w:p>
    <w:p w:rsidR="008A15DF" w:rsidRPr="009623F0" w:rsidRDefault="008A15DF" w:rsidP="008A15DF">
      <w:pPr>
        <w:jc w:val="center"/>
        <w:rPr>
          <w:rFonts w:eastAsia="Times New Roman" w:cs="Calibri Light"/>
          <w:sz w:val="32"/>
          <w:lang w:val="el-GR"/>
        </w:rPr>
      </w:pPr>
    </w:p>
    <w:p w:rsidR="008A15DF" w:rsidRPr="00693063" w:rsidRDefault="008A15DF" w:rsidP="008A15DF">
      <w:pPr>
        <w:jc w:val="center"/>
        <w:rPr>
          <w:rFonts w:eastAsia="Times New Roman" w:cs="Calibri Light"/>
          <w:sz w:val="32"/>
          <w:lang w:val="el-GR"/>
        </w:rPr>
      </w:pPr>
    </w:p>
    <w:p w:rsidR="008A15DF" w:rsidRPr="00693063" w:rsidRDefault="008A15DF" w:rsidP="008A15DF">
      <w:pPr>
        <w:jc w:val="center"/>
        <w:rPr>
          <w:rFonts w:eastAsia="Times New Roman" w:cs="Calibri Light"/>
          <w:sz w:val="32"/>
          <w:lang w:val="el-GR"/>
        </w:rPr>
      </w:pPr>
    </w:p>
    <w:p w:rsidR="008A15DF" w:rsidRPr="00693063" w:rsidRDefault="008A15DF">
      <w:pPr>
        <w:rPr>
          <w:rFonts w:cs="Calibri Light"/>
          <w:lang w:val="el-GR"/>
        </w:rPr>
      </w:pPr>
    </w:p>
    <w:p w:rsidR="00D93367" w:rsidRPr="009623F0" w:rsidRDefault="00E80D90" w:rsidP="00D93367">
      <w:pPr>
        <w:jc w:val="center"/>
        <w:rPr>
          <w:rFonts w:eastAsia="Times New Roman" w:cs="Calibri Light"/>
          <w:sz w:val="32"/>
          <w:lang w:val="el-GR"/>
        </w:rPr>
      </w:pPr>
      <w:r w:rsidRPr="009623F0">
        <w:rPr>
          <w:rFonts w:eastAsia="Times New Roman" w:cs="Calibri Light"/>
          <w:sz w:val="20"/>
          <w:lang w:val="el-GR"/>
        </w:rPr>
        <w:tab/>
      </w:r>
      <w:r w:rsidRPr="009623F0">
        <w:rPr>
          <w:rFonts w:eastAsia="Times New Roman" w:cs="Calibri Light"/>
          <w:sz w:val="20"/>
          <w:lang w:val="el-GR"/>
        </w:rPr>
        <w:tab/>
      </w:r>
    </w:p>
    <w:p w:rsidR="00D93367" w:rsidRDefault="00D93367" w:rsidP="005D3984">
      <w:pPr>
        <w:pStyle w:val="NoSpacing"/>
        <w:rPr>
          <w:lang w:val="el-GR"/>
        </w:rPr>
      </w:pPr>
      <w:r w:rsidRPr="00347FAB">
        <w:rPr>
          <w:lang w:val="el-GR"/>
        </w:rPr>
        <w:t>Επεμβάσεις</w:t>
      </w:r>
      <w:r w:rsidRPr="00693063">
        <w:rPr>
          <w:lang w:val="el-GR"/>
        </w:rPr>
        <w:t xml:space="preserve"> </w:t>
      </w:r>
      <w:r w:rsidRPr="004550B1">
        <w:rPr>
          <w:lang w:val="el-GR"/>
        </w:rPr>
        <w:t>εξοικονόμησης</w:t>
      </w:r>
      <w:r w:rsidRPr="00693063">
        <w:rPr>
          <w:lang w:val="el-GR"/>
        </w:rPr>
        <w:t xml:space="preserve"> ενέργειας σε κτίρια</w:t>
      </w:r>
    </w:p>
    <w:p w:rsidR="00D93367" w:rsidRPr="00693063" w:rsidRDefault="00D93367" w:rsidP="00994FB4">
      <w:pPr>
        <w:jc w:val="left"/>
        <w:rPr>
          <w:rFonts w:eastAsia="Times New Roman" w:cs="Calibri Light"/>
          <w:sz w:val="48"/>
          <w:szCs w:val="80"/>
          <w:lang w:val="el-GR"/>
        </w:rPr>
      </w:pPr>
    </w:p>
    <w:p w:rsidR="00994FB4" w:rsidRPr="00994FB4" w:rsidRDefault="00D93367" w:rsidP="00994FB4">
      <w:pPr>
        <w:pStyle w:val="IEESL-"/>
        <w:rPr>
          <w:sz w:val="22"/>
          <w:szCs w:val="22"/>
        </w:rPr>
      </w:pPr>
      <w:r w:rsidRPr="00994FB4">
        <w:t xml:space="preserve">Όνομα φοιτητή </w:t>
      </w:r>
      <w:r w:rsidRPr="00994FB4">
        <w:cr/>
      </w:r>
    </w:p>
    <w:p w:rsidR="00D93367" w:rsidRDefault="00D93367" w:rsidP="003638AD">
      <w:pPr>
        <w:rPr>
          <w:rFonts w:eastAsia="Times New Roman" w:cs="Calibri Light"/>
          <w:sz w:val="48"/>
          <w:szCs w:val="80"/>
          <w:lang w:val="el-GR"/>
        </w:rPr>
      </w:pPr>
    </w:p>
    <w:p w:rsidR="003C5364" w:rsidRDefault="00B638DB" w:rsidP="003C5364">
      <w:pPr>
        <w:pStyle w:val="IEESL-0"/>
        <w:spacing w:before="240" w:after="0"/>
        <w:rPr>
          <w:b/>
        </w:rPr>
      </w:pPr>
      <w:r w:rsidRPr="00693063">
        <w:rPr>
          <w:b/>
        </w:rPr>
        <w:t>Επιβλέπων</w:t>
      </w:r>
      <w:r w:rsidR="003C5364">
        <w:rPr>
          <w:b/>
        </w:rPr>
        <w:t xml:space="preserve"> καθηγητής</w:t>
      </w:r>
    </w:p>
    <w:p w:rsidR="00B638DB" w:rsidRPr="00B638DB" w:rsidRDefault="00B638DB" w:rsidP="003C5364">
      <w:pPr>
        <w:pStyle w:val="IEESL-0"/>
        <w:spacing w:before="0"/>
      </w:pPr>
      <w:r w:rsidRPr="00693063">
        <w:rPr>
          <w:b/>
        </w:rPr>
        <w:t xml:space="preserve"> Παπαευθυμίου Σπυρίδων</w:t>
      </w:r>
      <w:r>
        <w:t xml:space="preserve"> </w:t>
      </w:r>
      <w:r w:rsidR="003C5364">
        <w:t>-</w:t>
      </w:r>
      <w:r>
        <w:t xml:space="preserve"> </w:t>
      </w:r>
      <w:r w:rsidR="003C5364" w:rsidRPr="003C5364">
        <w:rPr>
          <w:b/>
        </w:rPr>
        <w:t xml:space="preserve">Μιχάλης </w:t>
      </w:r>
      <w:proofErr w:type="spellStart"/>
      <w:r w:rsidR="003C5364" w:rsidRPr="003C5364">
        <w:rPr>
          <w:b/>
        </w:rPr>
        <w:t>Κονσολάκης</w:t>
      </w:r>
      <w:proofErr w:type="spellEnd"/>
      <w:r w:rsidR="003C5364" w:rsidRPr="003C5364">
        <w:rPr>
          <w:b/>
        </w:rPr>
        <w:t xml:space="preserve"> </w:t>
      </w:r>
      <w:r w:rsidR="003C5364">
        <w:rPr>
          <w:b/>
        </w:rPr>
        <w:t xml:space="preserve">- </w:t>
      </w:r>
      <w:r w:rsidR="003C5364" w:rsidRPr="003C5364">
        <w:rPr>
          <w:b/>
        </w:rPr>
        <w:t xml:space="preserve">Δημήτρης </w:t>
      </w:r>
      <w:proofErr w:type="spellStart"/>
      <w:r w:rsidR="003C5364" w:rsidRPr="003C5364">
        <w:rPr>
          <w:b/>
        </w:rPr>
        <w:t>Ιψάκης</w:t>
      </w:r>
      <w:proofErr w:type="spellEnd"/>
      <w:r>
        <w:t xml:space="preserve">    </w:t>
      </w:r>
      <w:r w:rsidR="00D254A7">
        <w:t xml:space="preserve">              </w:t>
      </w:r>
    </w:p>
    <w:p w:rsidR="00D93367" w:rsidRPr="00693063" w:rsidRDefault="00D93367" w:rsidP="00D93367">
      <w:pPr>
        <w:jc w:val="center"/>
        <w:rPr>
          <w:rFonts w:eastAsia="Times New Roman" w:cs="Calibri Light"/>
          <w:b/>
          <w:sz w:val="36"/>
          <w:szCs w:val="80"/>
          <w:lang w:val="el-GR"/>
        </w:rPr>
      </w:pPr>
    </w:p>
    <w:p w:rsidR="00D93367" w:rsidRPr="00101D69" w:rsidRDefault="00D93367" w:rsidP="008E172E">
      <w:pPr>
        <w:pStyle w:val="IEESL-1"/>
        <w:rPr>
          <w:sz w:val="22"/>
          <w:szCs w:val="22"/>
        </w:rPr>
      </w:pPr>
      <w:r w:rsidRPr="00693063">
        <w:t>Χανιά</w:t>
      </w:r>
      <w:r w:rsidR="00693063" w:rsidRPr="009623F0">
        <w:t>,</w:t>
      </w:r>
      <w:r w:rsidRPr="00693063">
        <w:t xml:space="preserve"> </w:t>
      </w:r>
      <w:r w:rsidR="00F71F0E" w:rsidRPr="00693063">
        <w:t>Φεβρουάριος 2021</w:t>
      </w:r>
      <w:r w:rsidR="00517B81">
        <w:t xml:space="preserve">                          </w:t>
      </w:r>
      <w:r w:rsidR="00F31F89">
        <w:t xml:space="preserve">                      </w:t>
      </w:r>
      <w:r w:rsidR="00D01DA0" w:rsidRPr="00D01DA0">
        <w:t xml:space="preserve"> </w:t>
      </w:r>
    </w:p>
    <w:p w:rsidR="00F046DD" w:rsidRPr="0011548A" w:rsidRDefault="00F046DD" w:rsidP="002D0FAD">
      <w:pPr>
        <w:pStyle w:val="Heading1"/>
        <w:rPr>
          <w:b w:val="0"/>
          <w:sz w:val="22"/>
          <w:szCs w:val="22"/>
          <w:lang w:val="el-GR"/>
        </w:rPr>
      </w:pPr>
      <w:r w:rsidRPr="0011548A">
        <w:rPr>
          <w:lang w:val="el-GR"/>
        </w:rPr>
        <w:lastRenderedPageBreak/>
        <w:t xml:space="preserve">Περίληψη </w:t>
      </w:r>
    </w:p>
    <w:p w:rsidR="00313CE9" w:rsidRPr="001B01C1" w:rsidRDefault="00F046DD" w:rsidP="00313CE9">
      <w:pPr>
        <w:rPr>
          <w:lang w:val="el-GR"/>
        </w:rPr>
      </w:pPr>
      <w:r w:rsidRPr="00347FAB">
        <w:rPr>
          <w:lang w:val="el-GR"/>
        </w:rPr>
        <w:t>Γίνεται</w:t>
      </w:r>
      <w:r w:rsidRPr="00347FAB">
        <w:rPr>
          <w:spacing w:val="16"/>
          <w:lang w:val="el-GR"/>
        </w:rPr>
        <w:t xml:space="preserve"> </w:t>
      </w:r>
      <w:r w:rsidRPr="00347FAB">
        <w:rPr>
          <w:lang w:val="el-GR"/>
        </w:rPr>
        <w:t>σύντομη</w:t>
      </w:r>
      <w:r w:rsidRPr="00347FAB">
        <w:rPr>
          <w:spacing w:val="14"/>
          <w:lang w:val="el-GR"/>
        </w:rPr>
        <w:t xml:space="preserve"> </w:t>
      </w:r>
      <w:r w:rsidRPr="00347FAB">
        <w:rPr>
          <w:lang w:val="el-GR"/>
        </w:rPr>
        <w:t>αναφορά</w:t>
      </w:r>
      <w:r w:rsidRPr="00347FAB">
        <w:rPr>
          <w:spacing w:val="13"/>
          <w:lang w:val="el-GR"/>
        </w:rPr>
        <w:t xml:space="preserve"> </w:t>
      </w:r>
      <w:r w:rsidRPr="00347FAB">
        <w:rPr>
          <w:lang w:val="el-GR"/>
        </w:rPr>
        <w:t>στο</w:t>
      </w:r>
      <w:r w:rsidRPr="00347FAB">
        <w:rPr>
          <w:spacing w:val="19"/>
          <w:lang w:val="el-GR"/>
        </w:rPr>
        <w:t xml:space="preserve"> </w:t>
      </w:r>
      <w:r w:rsidRPr="00347FAB">
        <w:rPr>
          <w:lang w:val="el-GR"/>
        </w:rPr>
        <w:t>περιεχόμενο</w:t>
      </w:r>
      <w:r w:rsidRPr="00347FAB">
        <w:rPr>
          <w:spacing w:val="11"/>
          <w:lang w:val="el-GR"/>
        </w:rPr>
        <w:t xml:space="preserve"> </w:t>
      </w:r>
      <w:r w:rsidRPr="00347FAB">
        <w:rPr>
          <w:lang w:val="el-GR"/>
        </w:rPr>
        <w:t>της</w:t>
      </w:r>
      <w:r w:rsidRPr="00347FAB">
        <w:rPr>
          <w:spacing w:val="20"/>
          <w:lang w:val="el-GR"/>
        </w:rPr>
        <w:t xml:space="preserve"> </w:t>
      </w:r>
      <w:r w:rsidRPr="00347FAB">
        <w:rPr>
          <w:lang w:val="el-GR"/>
        </w:rPr>
        <w:t>εργασίας,</w:t>
      </w:r>
      <w:r w:rsidRPr="00347FAB">
        <w:rPr>
          <w:spacing w:val="13"/>
          <w:lang w:val="el-GR"/>
        </w:rPr>
        <w:t xml:space="preserve"> </w:t>
      </w:r>
      <w:r w:rsidRPr="00347FAB">
        <w:rPr>
          <w:lang w:val="el-GR"/>
        </w:rPr>
        <w:t>στην</w:t>
      </w:r>
      <w:r w:rsidRPr="00347FAB">
        <w:rPr>
          <w:spacing w:val="16"/>
          <w:lang w:val="el-GR"/>
        </w:rPr>
        <w:t xml:space="preserve"> </w:t>
      </w:r>
      <w:r w:rsidRPr="00347FAB">
        <w:rPr>
          <w:lang w:val="el-GR"/>
        </w:rPr>
        <w:t>οποία</w:t>
      </w:r>
      <w:r w:rsidRPr="00347FAB">
        <w:rPr>
          <w:spacing w:val="16"/>
          <w:lang w:val="el-GR"/>
        </w:rPr>
        <w:t xml:space="preserve"> </w:t>
      </w:r>
      <w:r w:rsidRPr="00347FAB">
        <w:rPr>
          <w:spacing w:val="1"/>
          <w:lang w:val="el-GR"/>
        </w:rPr>
        <w:t>θ</w:t>
      </w:r>
      <w:r w:rsidRPr="00347FAB">
        <w:rPr>
          <w:lang w:val="el-GR"/>
        </w:rPr>
        <w:t>α</w:t>
      </w:r>
      <w:r w:rsidRPr="00347FAB">
        <w:rPr>
          <w:spacing w:val="19"/>
          <w:lang w:val="el-GR"/>
        </w:rPr>
        <w:t xml:space="preserve"> </w:t>
      </w:r>
      <w:r w:rsidRPr="00347FAB">
        <w:rPr>
          <w:lang w:val="el-GR"/>
        </w:rPr>
        <w:t>παρουσι</w:t>
      </w:r>
      <w:r w:rsidRPr="00347FAB">
        <w:rPr>
          <w:spacing w:val="1"/>
          <w:lang w:val="el-GR"/>
        </w:rPr>
        <w:t>ά</w:t>
      </w:r>
      <w:r w:rsidRPr="00347FAB">
        <w:rPr>
          <w:lang w:val="el-GR"/>
        </w:rPr>
        <w:t>ζονται οι</w:t>
      </w:r>
      <w:r w:rsidRPr="00347FAB">
        <w:rPr>
          <w:spacing w:val="13"/>
          <w:lang w:val="el-GR"/>
        </w:rPr>
        <w:t xml:space="preserve"> </w:t>
      </w:r>
      <w:r w:rsidRPr="00347FAB">
        <w:rPr>
          <w:lang w:val="el-GR"/>
        </w:rPr>
        <w:t>στόχοι,</w:t>
      </w:r>
      <w:r w:rsidRPr="00347FAB">
        <w:rPr>
          <w:spacing w:val="8"/>
          <w:lang w:val="el-GR"/>
        </w:rPr>
        <w:t xml:space="preserve"> </w:t>
      </w:r>
      <w:r w:rsidRPr="00347FAB">
        <w:rPr>
          <w:lang w:val="el-GR"/>
        </w:rPr>
        <w:t>η</w:t>
      </w:r>
      <w:r w:rsidRPr="00347FAB">
        <w:rPr>
          <w:spacing w:val="13"/>
          <w:lang w:val="el-GR"/>
        </w:rPr>
        <w:t xml:space="preserve"> </w:t>
      </w:r>
      <w:r w:rsidRPr="00347FAB">
        <w:rPr>
          <w:lang w:val="el-GR"/>
        </w:rPr>
        <w:t>μεθοδολογία</w:t>
      </w:r>
      <w:r w:rsidRPr="00347FAB">
        <w:rPr>
          <w:spacing w:val="3"/>
          <w:lang w:val="el-GR"/>
        </w:rPr>
        <w:t xml:space="preserve"> </w:t>
      </w:r>
      <w:r w:rsidRPr="00347FAB">
        <w:rPr>
          <w:lang w:val="el-GR"/>
        </w:rPr>
        <w:t>και</w:t>
      </w:r>
      <w:r w:rsidRPr="00347FAB">
        <w:rPr>
          <w:spacing w:val="11"/>
          <w:lang w:val="el-GR"/>
        </w:rPr>
        <w:t xml:space="preserve"> </w:t>
      </w:r>
      <w:r w:rsidRPr="00347FAB">
        <w:rPr>
          <w:lang w:val="el-GR"/>
        </w:rPr>
        <w:t>πολύ</w:t>
      </w:r>
      <w:r w:rsidRPr="00347FAB">
        <w:rPr>
          <w:spacing w:val="7"/>
          <w:lang w:val="el-GR"/>
        </w:rPr>
        <w:t xml:space="preserve"> </w:t>
      </w:r>
      <w:r w:rsidRPr="00347FAB">
        <w:rPr>
          <w:lang w:val="el-GR"/>
        </w:rPr>
        <w:t>σύντ</w:t>
      </w:r>
      <w:r w:rsidRPr="00347FAB">
        <w:rPr>
          <w:spacing w:val="1"/>
          <w:lang w:val="el-GR"/>
        </w:rPr>
        <w:t>ο</w:t>
      </w:r>
      <w:r w:rsidRPr="00347FAB">
        <w:rPr>
          <w:spacing w:val="-1"/>
          <w:lang w:val="el-GR"/>
        </w:rPr>
        <w:t>μ</w:t>
      </w:r>
      <w:r w:rsidRPr="00347FAB">
        <w:rPr>
          <w:lang w:val="el-GR"/>
        </w:rPr>
        <w:t>α</w:t>
      </w:r>
      <w:r w:rsidRPr="00347FAB">
        <w:rPr>
          <w:spacing w:val="6"/>
          <w:lang w:val="el-GR"/>
        </w:rPr>
        <w:t xml:space="preserve"> </w:t>
      </w:r>
      <w:r w:rsidRPr="00347FAB">
        <w:rPr>
          <w:lang w:val="el-GR"/>
        </w:rPr>
        <w:t>αποτελέσματα</w:t>
      </w:r>
      <w:r w:rsidRPr="00347FAB">
        <w:rPr>
          <w:spacing w:val="2"/>
          <w:lang w:val="el-GR"/>
        </w:rPr>
        <w:t xml:space="preserve"> </w:t>
      </w:r>
      <w:r w:rsidRPr="00347FAB">
        <w:rPr>
          <w:lang w:val="el-GR"/>
        </w:rPr>
        <w:t>της</w:t>
      </w:r>
      <w:r w:rsidRPr="00347FAB">
        <w:rPr>
          <w:spacing w:val="11"/>
          <w:lang w:val="el-GR"/>
        </w:rPr>
        <w:t xml:space="preserve"> </w:t>
      </w:r>
      <w:r w:rsidRPr="00347FAB">
        <w:rPr>
          <w:lang w:val="el-GR"/>
        </w:rPr>
        <w:t>διπλωματικής εργασίας. Έχει</w:t>
      </w:r>
      <w:r w:rsidRPr="00347FAB">
        <w:rPr>
          <w:spacing w:val="-4"/>
          <w:lang w:val="el-GR"/>
        </w:rPr>
        <w:t xml:space="preserve"> </w:t>
      </w:r>
      <w:r w:rsidRPr="00347FAB">
        <w:rPr>
          <w:lang w:val="el-GR"/>
        </w:rPr>
        <w:t>έκταση</w:t>
      </w:r>
      <w:r w:rsidRPr="00347FAB">
        <w:rPr>
          <w:spacing w:val="-7"/>
          <w:lang w:val="el-GR"/>
        </w:rPr>
        <w:t xml:space="preserve"> </w:t>
      </w:r>
      <w:r w:rsidRPr="00347FAB">
        <w:rPr>
          <w:lang w:val="el-GR"/>
        </w:rPr>
        <w:t>το</w:t>
      </w:r>
      <w:r w:rsidRPr="00347FAB">
        <w:rPr>
          <w:spacing w:val="-2"/>
          <w:lang w:val="el-GR"/>
        </w:rPr>
        <w:t xml:space="preserve"> </w:t>
      </w:r>
      <w:r w:rsidRPr="00347FAB">
        <w:rPr>
          <w:lang w:val="el-GR"/>
        </w:rPr>
        <w:t>πολύ</w:t>
      </w:r>
      <w:r w:rsidRPr="00347FAB">
        <w:rPr>
          <w:spacing w:val="-5"/>
          <w:lang w:val="el-GR"/>
        </w:rPr>
        <w:t xml:space="preserve"> </w:t>
      </w:r>
      <w:r w:rsidRPr="00347FAB">
        <w:rPr>
          <w:lang w:val="el-GR"/>
        </w:rPr>
        <w:t>μία</w:t>
      </w:r>
      <w:r w:rsidRPr="00347FAB">
        <w:rPr>
          <w:spacing w:val="-1"/>
          <w:lang w:val="el-GR"/>
        </w:rPr>
        <w:t xml:space="preserve"> </w:t>
      </w:r>
      <w:r w:rsidRPr="00347FAB">
        <w:rPr>
          <w:lang w:val="el-GR"/>
        </w:rPr>
        <w:t>σελίδα.</w:t>
      </w:r>
      <w:r w:rsidR="00173DD9" w:rsidRPr="001B01C1">
        <w:rPr>
          <w:lang w:val="el-GR"/>
        </w:rPr>
        <w:t xml:space="preserve"> </w:t>
      </w:r>
    </w:p>
    <w:p w:rsidR="00E962CB" w:rsidRPr="00693063" w:rsidRDefault="00E962CB" w:rsidP="00E962CB">
      <w:pPr>
        <w:widowControl w:val="0"/>
        <w:autoSpaceDE w:val="0"/>
        <w:autoSpaceDN w:val="0"/>
        <w:adjustRightInd w:val="0"/>
        <w:rPr>
          <w:rFonts w:cs="Calibri Light"/>
          <w:szCs w:val="24"/>
          <w:lang w:val="el-GR"/>
        </w:rPr>
      </w:pPr>
    </w:p>
    <w:p w:rsidR="00F046DD" w:rsidRPr="00687FF7" w:rsidRDefault="00F046DD" w:rsidP="00687FF7">
      <w:pPr>
        <w:pStyle w:val="Heading1"/>
        <w:rPr>
          <w:lang w:val="el-GR"/>
        </w:rPr>
      </w:pPr>
      <w:r w:rsidRPr="00687FF7">
        <w:rPr>
          <w:lang w:val="el-GR"/>
        </w:rPr>
        <w:t xml:space="preserve">Ευχαριστίες </w:t>
      </w:r>
    </w:p>
    <w:p w:rsidR="00202388" w:rsidRPr="00313CE9" w:rsidRDefault="00F046DD" w:rsidP="00202388">
      <w:pPr>
        <w:rPr>
          <w:lang w:val="el-GR"/>
        </w:rPr>
      </w:pPr>
      <w:r w:rsidRPr="00693063">
        <w:rPr>
          <w:rFonts w:cs="Calibri Light"/>
          <w:szCs w:val="24"/>
          <w:lang w:val="el-GR"/>
        </w:rPr>
        <w:t>Γίνεται</w:t>
      </w:r>
      <w:r w:rsidRPr="00693063">
        <w:rPr>
          <w:rFonts w:cs="Calibri Light"/>
          <w:spacing w:val="34"/>
          <w:szCs w:val="24"/>
          <w:lang w:val="el-GR"/>
        </w:rPr>
        <w:t xml:space="preserve"> </w:t>
      </w:r>
      <w:r w:rsidRPr="00693063">
        <w:rPr>
          <w:rFonts w:cs="Calibri Light"/>
          <w:szCs w:val="24"/>
          <w:lang w:val="el-GR"/>
        </w:rPr>
        <w:t>μία</w:t>
      </w:r>
      <w:r w:rsidRPr="00693063">
        <w:rPr>
          <w:rFonts w:cs="Calibri Light"/>
          <w:spacing w:val="38"/>
          <w:szCs w:val="24"/>
          <w:lang w:val="el-GR"/>
        </w:rPr>
        <w:t xml:space="preserve"> </w:t>
      </w:r>
      <w:r w:rsidRPr="00693063">
        <w:rPr>
          <w:rFonts w:cs="Calibri Light"/>
          <w:szCs w:val="24"/>
          <w:lang w:val="el-GR"/>
        </w:rPr>
        <w:t>ευχαριστήρια</w:t>
      </w:r>
      <w:r w:rsidRPr="00693063">
        <w:rPr>
          <w:rFonts w:cs="Calibri Light"/>
          <w:spacing w:val="26"/>
          <w:szCs w:val="24"/>
          <w:lang w:val="el-GR"/>
        </w:rPr>
        <w:t xml:space="preserve"> </w:t>
      </w:r>
      <w:r w:rsidRPr="00693063">
        <w:rPr>
          <w:rFonts w:cs="Calibri Light"/>
          <w:szCs w:val="24"/>
          <w:lang w:val="el-GR"/>
        </w:rPr>
        <w:t>αναφορά</w:t>
      </w:r>
      <w:r w:rsidRPr="00693063">
        <w:rPr>
          <w:rFonts w:cs="Calibri Light"/>
          <w:spacing w:val="33"/>
          <w:szCs w:val="24"/>
          <w:lang w:val="el-GR"/>
        </w:rPr>
        <w:t xml:space="preserve"> </w:t>
      </w:r>
      <w:r w:rsidRPr="00693063">
        <w:rPr>
          <w:rFonts w:cs="Calibri Light"/>
          <w:szCs w:val="24"/>
          <w:lang w:val="el-GR"/>
        </w:rPr>
        <w:t>σε</w:t>
      </w:r>
      <w:r w:rsidRPr="00693063">
        <w:rPr>
          <w:rFonts w:cs="Calibri Light"/>
          <w:spacing w:val="38"/>
          <w:szCs w:val="24"/>
          <w:lang w:val="el-GR"/>
        </w:rPr>
        <w:t xml:space="preserve"> </w:t>
      </w:r>
      <w:r w:rsidRPr="00693063">
        <w:rPr>
          <w:rFonts w:cs="Calibri Light"/>
          <w:szCs w:val="24"/>
          <w:lang w:val="el-GR"/>
        </w:rPr>
        <w:t>όλους</w:t>
      </w:r>
      <w:r w:rsidRPr="00693063">
        <w:rPr>
          <w:rFonts w:cs="Calibri Light"/>
          <w:spacing w:val="34"/>
          <w:szCs w:val="24"/>
          <w:lang w:val="el-GR"/>
        </w:rPr>
        <w:t xml:space="preserve"> </w:t>
      </w:r>
      <w:r w:rsidRPr="00693063">
        <w:rPr>
          <w:rFonts w:cs="Calibri Light"/>
          <w:spacing w:val="1"/>
          <w:szCs w:val="24"/>
          <w:lang w:val="el-GR"/>
        </w:rPr>
        <w:t>ό</w:t>
      </w:r>
      <w:r w:rsidRPr="00693063">
        <w:rPr>
          <w:rFonts w:cs="Calibri Light"/>
          <w:szCs w:val="24"/>
          <w:lang w:val="el-GR"/>
        </w:rPr>
        <w:t>σους</w:t>
      </w:r>
      <w:r w:rsidRPr="00693063">
        <w:rPr>
          <w:rFonts w:cs="Calibri Light"/>
          <w:spacing w:val="36"/>
          <w:szCs w:val="24"/>
          <w:lang w:val="el-GR"/>
        </w:rPr>
        <w:t xml:space="preserve"> </w:t>
      </w:r>
      <w:r w:rsidRPr="00693063">
        <w:rPr>
          <w:rFonts w:cs="Calibri Light"/>
          <w:szCs w:val="24"/>
          <w:lang w:val="el-GR"/>
        </w:rPr>
        <w:t>συνέβαλαν</w:t>
      </w:r>
      <w:r w:rsidRPr="00693063">
        <w:rPr>
          <w:rFonts w:cs="Calibri Light"/>
          <w:spacing w:val="28"/>
          <w:szCs w:val="24"/>
          <w:lang w:val="el-GR"/>
        </w:rPr>
        <w:t xml:space="preserve"> </w:t>
      </w:r>
      <w:r w:rsidRPr="00693063">
        <w:rPr>
          <w:rFonts w:cs="Calibri Light"/>
          <w:spacing w:val="-1"/>
          <w:szCs w:val="24"/>
          <w:lang w:val="el-GR"/>
        </w:rPr>
        <w:t>μ</w:t>
      </w:r>
      <w:r w:rsidRPr="00693063">
        <w:rPr>
          <w:rFonts w:cs="Calibri Light"/>
          <w:szCs w:val="24"/>
          <w:lang w:val="el-GR"/>
        </w:rPr>
        <w:t>ε</w:t>
      </w:r>
      <w:r w:rsidRPr="00693063">
        <w:rPr>
          <w:rFonts w:cs="Calibri Light"/>
          <w:spacing w:val="38"/>
          <w:szCs w:val="24"/>
          <w:lang w:val="el-GR"/>
        </w:rPr>
        <w:t xml:space="preserve"> </w:t>
      </w:r>
      <w:r w:rsidRPr="00693063">
        <w:rPr>
          <w:rFonts w:cs="Calibri Light"/>
          <w:spacing w:val="1"/>
          <w:szCs w:val="24"/>
          <w:lang w:val="el-GR"/>
        </w:rPr>
        <w:t>οπ</w:t>
      </w:r>
      <w:r w:rsidRPr="00693063">
        <w:rPr>
          <w:rFonts w:cs="Calibri Light"/>
          <w:szCs w:val="24"/>
          <w:lang w:val="el-GR"/>
        </w:rPr>
        <w:t>οιονδήποτε</w:t>
      </w:r>
      <w:r w:rsidRPr="00693063">
        <w:rPr>
          <w:rFonts w:cs="Calibri Light"/>
          <w:spacing w:val="28"/>
          <w:szCs w:val="24"/>
          <w:lang w:val="el-GR"/>
        </w:rPr>
        <w:t xml:space="preserve"> </w:t>
      </w:r>
      <w:r w:rsidRPr="00693063">
        <w:rPr>
          <w:rFonts w:cs="Calibri Light"/>
          <w:szCs w:val="24"/>
          <w:lang w:val="el-GR"/>
        </w:rPr>
        <w:t>τρόπο στη</w:t>
      </w:r>
      <w:r w:rsidRPr="00693063">
        <w:rPr>
          <w:rFonts w:cs="Calibri Light"/>
          <w:spacing w:val="-2"/>
          <w:szCs w:val="24"/>
          <w:lang w:val="el-GR"/>
        </w:rPr>
        <w:t xml:space="preserve"> </w:t>
      </w:r>
      <w:r w:rsidRPr="00693063">
        <w:rPr>
          <w:rFonts w:cs="Calibri Light"/>
          <w:szCs w:val="24"/>
          <w:lang w:val="el-GR"/>
        </w:rPr>
        <w:t>συγγραφή</w:t>
      </w:r>
      <w:r w:rsidRPr="00693063">
        <w:rPr>
          <w:rFonts w:cs="Calibri Light"/>
          <w:spacing w:val="-9"/>
          <w:szCs w:val="24"/>
          <w:lang w:val="el-GR"/>
        </w:rPr>
        <w:t xml:space="preserve"> </w:t>
      </w:r>
      <w:r w:rsidRPr="00693063">
        <w:rPr>
          <w:rFonts w:cs="Calibri Light"/>
          <w:szCs w:val="24"/>
          <w:lang w:val="el-GR"/>
        </w:rPr>
        <w:t>της</w:t>
      </w:r>
      <w:r w:rsidRPr="00693063">
        <w:rPr>
          <w:rFonts w:cs="Calibri Light"/>
          <w:spacing w:val="-3"/>
          <w:szCs w:val="24"/>
          <w:lang w:val="el-GR"/>
        </w:rPr>
        <w:t xml:space="preserve"> </w:t>
      </w:r>
      <w:r w:rsidRPr="00693063">
        <w:rPr>
          <w:rFonts w:cs="Calibri Light"/>
          <w:szCs w:val="24"/>
          <w:lang w:val="el-GR"/>
        </w:rPr>
        <w:t>διπλωματικής</w:t>
      </w:r>
      <w:r w:rsidRPr="00693063">
        <w:rPr>
          <w:rFonts w:cs="Calibri Light"/>
          <w:spacing w:val="-13"/>
          <w:szCs w:val="24"/>
          <w:lang w:val="el-GR"/>
        </w:rPr>
        <w:t xml:space="preserve"> </w:t>
      </w:r>
      <w:r w:rsidRPr="00693063">
        <w:rPr>
          <w:rFonts w:cs="Calibri Light"/>
          <w:szCs w:val="24"/>
          <w:lang w:val="el-GR"/>
        </w:rPr>
        <w:t>εργασίας.</w:t>
      </w:r>
    </w:p>
    <w:p w:rsidR="00E962CB" w:rsidRPr="00693063" w:rsidRDefault="00E962CB" w:rsidP="00E962CB">
      <w:pPr>
        <w:widowControl w:val="0"/>
        <w:autoSpaceDE w:val="0"/>
        <w:autoSpaceDN w:val="0"/>
        <w:adjustRightInd w:val="0"/>
        <w:rPr>
          <w:rFonts w:cs="Calibri Light"/>
          <w:szCs w:val="24"/>
          <w:lang w:val="el-GR"/>
        </w:rPr>
      </w:pPr>
    </w:p>
    <w:p w:rsidR="00F37DD7" w:rsidRPr="00687FF7" w:rsidRDefault="00F37DD7" w:rsidP="00687FF7">
      <w:pPr>
        <w:pStyle w:val="Heading1"/>
        <w:rPr>
          <w:sz w:val="24"/>
          <w:lang w:val="el-GR"/>
        </w:rPr>
      </w:pPr>
      <w:r w:rsidRPr="00687FF7">
        <w:rPr>
          <w:lang w:val="el-GR"/>
        </w:rPr>
        <w:t>Περιεχόμενα</w:t>
      </w:r>
      <w:r w:rsidRPr="00687FF7">
        <w:rPr>
          <w:sz w:val="24"/>
          <w:lang w:val="el-GR"/>
        </w:rPr>
        <w:t xml:space="preserve"> </w:t>
      </w:r>
    </w:p>
    <w:p w:rsidR="00202388" w:rsidRPr="00313CE9" w:rsidRDefault="007C634D" w:rsidP="00202388">
      <w:pPr>
        <w:rPr>
          <w:lang w:val="el-GR"/>
        </w:rPr>
      </w:pPr>
      <w:r>
        <w:rPr>
          <w:rFonts w:cs="Calibri Light"/>
          <w:szCs w:val="24"/>
          <w:lang w:val="el-GR"/>
        </w:rPr>
        <w:t>Τα περιεχόμενα τοποθετούνται χρησιμοποιώντας το κατάλληλο εργαλείο του «</w:t>
      </w:r>
      <w:r>
        <w:rPr>
          <w:rFonts w:cs="Calibri Light"/>
          <w:szCs w:val="24"/>
        </w:rPr>
        <w:t>word</w:t>
      </w:r>
      <w:r>
        <w:rPr>
          <w:rFonts w:cs="Calibri Light"/>
          <w:szCs w:val="24"/>
          <w:lang w:val="el-GR"/>
        </w:rPr>
        <w:t>»</w:t>
      </w:r>
      <w:r w:rsidR="004A6F42">
        <w:rPr>
          <w:rFonts w:cs="Calibri Light"/>
          <w:szCs w:val="24"/>
          <w:lang w:val="el-GR"/>
        </w:rPr>
        <w:t xml:space="preserve">: </w:t>
      </w:r>
      <w:r>
        <w:rPr>
          <w:rFonts w:cs="Calibri Light"/>
          <w:szCs w:val="24"/>
          <w:lang w:val="el-GR"/>
        </w:rPr>
        <w:t>«Αναφορές → Πίνακας περιεχομένων»</w:t>
      </w:r>
    </w:p>
    <w:p w:rsidR="00F37DD7" w:rsidRPr="00693063" w:rsidRDefault="00F37DD7" w:rsidP="00E962CB">
      <w:pPr>
        <w:widowControl w:val="0"/>
        <w:autoSpaceDE w:val="0"/>
        <w:autoSpaceDN w:val="0"/>
        <w:adjustRightInd w:val="0"/>
        <w:rPr>
          <w:rFonts w:cs="Calibri Light"/>
          <w:b/>
          <w:szCs w:val="24"/>
          <w:lang w:val="el-GR"/>
        </w:rPr>
      </w:pPr>
    </w:p>
    <w:p w:rsidR="00C030D4" w:rsidRDefault="00102920" w:rsidP="000044FB">
      <w:pPr>
        <w:pStyle w:val="IEESL-0"/>
      </w:pPr>
      <w:r w:rsidRPr="00693063">
        <w:br w:type="page"/>
      </w:r>
    </w:p>
    <w:p w:rsidR="00DD27F1" w:rsidRPr="00101D69" w:rsidRDefault="00DD27F1" w:rsidP="00202388">
      <w:pPr>
        <w:rPr>
          <w:rFonts w:cs="Calibri Light"/>
          <w:sz w:val="52"/>
          <w:szCs w:val="52"/>
          <w:lang w:val="el-GR"/>
        </w:rPr>
      </w:pPr>
    </w:p>
    <w:p w:rsidR="00102920" w:rsidRPr="00FD5D1A" w:rsidRDefault="00102920" w:rsidP="00FD5D1A">
      <w:pPr>
        <w:pStyle w:val="IEESL-3"/>
        <w:rPr>
          <w:b w:val="0"/>
          <w:sz w:val="22"/>
          <w:szCs w:val="22"/>
        </w:rPr>
      </w:pPr>
      <w:r w:rsidRPr="00693063">
        <w:rPr>
          <w:szCs w:val="28"/>
        </w:rPr>
        <w:t>Κ</w:t>
      </w:r>
      <w:r w:rsidRPr="00693063">
        <w:t>ΕΦΑΛΑΙΟ</w:t>
      </w:r>
      <w:r w:rsidRPr="00693063">
        <w:rPr>
          <w:szCs w:val="28"/>
        </w:rPr>
        <w:t xml:space="preserve"> </w:t>
      </w:r>
      <w:r w:rsidR="008F144E" w:rsidRPr="00693063">
        <w:rPr>
          <w:szCs w:val="28"/>
        </w:rPr>
        <w:t>1</w:t>
      </w:r>
      <w:r w:rsidR="00955FE9">
        <w:t xml:space="preserve"> </w:t>
      </w:r>
    </w:p>
    <w:p w:rsidR="00B87DD5" w:rsidRPr="004D5770" w:rsidRDefault="00B87DD5" w:rsidP="00B87DD5">
      <w:pPr>
        <w:pStyle w:val="IEESL-3"/>
        <w:rPr>
          <w:rFonts w:eastAsiaTheme="majorEastAsia" w:cstheme="majorBidi"/>
          <w:b w:val="0"/>
          <w:bCs w:val="0"/>
          <w:sz w:val="22"/>
          <w:szCs w:val="22"/>
        </w:rPr>
      </w:pPr>
      <w:r w:rsidRPr="00347FAB">
        <w:rPr>
          <w:rStyle w:val="Heading1Char"/>
          <w:b/>
          <w:lang w:val="el-GR"/>
        </w:rPr>
        <w:t>Κεφάλαιο 1: Ατμοσφαιρική ρύπανση &amp; Ναυτιλία</w:t>
      </w:r>
      <w:r w:rsidRPr="00693063">
        <w:rPr>
          <w:rFonts w:cs="Calibri Light"/>
          <w:spacing w:val="65"/>
          <w:szCs w:val="32"/>
        </w:rPr>
        <w:t xml:space="preserve"> </w:t>
      </w:r>
    </w:p>
    <w:p w:rsidR="00B87DD5" w:rsidRPr="00A60C94" w:rsidRDefault="00B87DD5" w:rsidP="00B87DD5">
      <w:pPr>
        <w:pStyle w:val="Heading2"/>
        <w:rPr>
          <w:b w:val="0"/>
          <w:sz w:val="22"/>
          <w:szCs w:val="22"/>
          <w:lang w:val="el-GR"/>
        </w:rPr>
      </w:pPr>
      <w:r w:rsidRPr="000A25FB">
        <w:rPr>
          <w:lang w:val="el-GR"/>
        </w:rPr>
        <w:t xml:space="preserve">1.1 </w:t>
      </w:r>
      <w:r w:rsidRPr="000A25FB">
        <w:rPr>
          <w:spacing w:val="17"/>
          <w:lang w:val="el-GR"/>
        </w:rPr>
        <w:t>Κλιματική Αλλαγή</w:t>
      </w:r>
      <w:r w:rsidRPr="000A25FB">
        <w:rPr>
          <w:spacing w:val="-12"/>
          <w:lang w:val="el-GR"/>
        </w:rPr>
        <w:t xml:space="preserve"> </w:t>
      </w:r>
    </w:p>
    <w:p w:rsidR="00B87DD5" w:rsidRPr="00A60C94" w:rsidRDefault="00B87DD5" w:rsidP="00102920">
      <w:pPr>
        <w:keepNext/>
        <w:widowControl w:val="0"/>
        <w:spacing w:after="0" w:line="360" w:lineRule="auto"/>
        <w:rPr>
          <w:rFonts w:eastAsia="Calibri" w:cs="Calibri Light"/>
          <w:color w:val="000000" w:themeColor="text1"/>
          <w:szCs w:val="24"/>
          <w:lang w:val="el-GR"/>
        </w:rPr>
      </w:pPr>
    </w:p>
    <w:p w:rsidR="00B87DD5" w:rsidRPr="001B01C1" w:rsidRDefault="00B87DD5" w:rsidP="00B87DD5">
      <w:pPr>
        <w:pStyle w:val="Heading3"/>
        <w:rPr>
          <w:lang w:val="el-GR"/>
        </w:rPr>
      </w:pPr>
      <w:r w:rsidRPr="00693063">
        <w:rPr>
          <w:lang w:val="el-GR"/>
        </w:rPr>
        <w:t xml:space="preserve">1.1.1 </w:t>
      </w:r>
      <w:r w:rsidRPr="00693063">
        <w:rPr>
          <w:spacing w:val="53"/>
          <w:lang w:val="el-GR"/>
        </w:rPr>
        <w:t xml:space="preserve"> </w:t>
      </w:r>
      <w:r w:rsidRPr="00693063">
        <w:rPr>
          <w:lang w:val="el-GR"/>
        </w:rPr>
        <w:t>Το φαινόμενο του Θερμοκηπίου</w:t>
      </w:r>
      <w:r w:rsidRPr="00693063">
        <w:rPr>
          <w:spacing w:val="1"/>
          <w:lang w:val="el-GR"/>
        </w:rPr>
        <w:t xml:space="preserve"> </w:t>
      </w:r>
    </w:p>
    <w:p w:rsidR="00B87DD5" w:rsidRPr="003C5364" w:rsidRDefault="00B87DD5" w:rsidP="00102920">
      <w:pPr>
        <w:keepNext/>
        <w:widowControl w:val="0"/>
        <w:spacing w:after="0" w:line="360" w:lineRule="auto"/>
        <w:rPr>
          <w:rFonts w:eastAsia="Calibri" w:cs="Calibri Light"/>
          <w:i/>
          <w:color w:val="000000" w:themeColor="text1"/>
          <w:szCs w:val="24"/>
          <w:lang w:val="el-GR"/>
        </w:rPr>
      </w:pPr>
    </w:p>
    <w:p w:rsidR="00005D1A" w:rsidRPr="00313CE9" w:rsidRDefault="00102920" w:rsidP="00005D1A">
      <w:pPr>
        <w:rPr>
          <w:lang w:val="el-GR"/>
        </w:rPr>
      </w:pPr>
      <w:r w:rsidRPr="00B87DD5">
        <w:rPr>
          <w:rFonts w:eastAsia="Calibri" w:cs="Calibri Light"/>
          <w:color w:val="000000" w:themeColor="text1"/>
          <w:szCs w:val="24"/>
          <w:lang w:val="el-GR"/>
        </w:rPr>
        <w:t>Στο κεφάλαιο αυτό θα γίνε</w:t>
      </w:r>
      <w:r w:rsidR="00274C37" w:rsidRPr="00B87DD5">
        <w:rPr>
          <w:rFonts w:eastAsia="Calibri" w:cs="Calibri Light"/>
          <w:color w:val="000000" w:themeColor="text1"/>
          <w:szCs w:val="24"/>
          <w:lang w:val="el-GR"/>
        </w:rPr>
        <w:t>τα</w:t>
      </w:r>
      <w:r w:rsidRPr="00B87DD5">
        <w:rPr>
          <w:rFonts w:eastAsia="Calibri" w:cs="Calibri Light"/>
          <w:color w:val="000000" w:themeColor="text1"/>
          <w:szCs w:val="24"/>
          <w:lang w:val="el-GR"/>
        </w:rPr>
        <w:t xml:space="preserve">ι μία σύντομη παρουσίαση του κτιρίου του Γυμνασίου </w:t>
      </w:r>
      <w:proofErr w:type="spellStart"/>
      <w:r w:rsidRPr="00B87DD5">
        <w:rPr>
          <w:rFonts w:eastAsia="Calibri" w:cs="Calibri Light"/>
          <w:color w:val="000000" w:themeColor="text1"/>
          <w:szCs w:val="24"/>
          <w:lang w:val="el-GR"/>
        </w:rPr>
        <w:t>Κουνουπιδιανών</w:t>
      </w:r>
      <w:proofErr w:type="spellEnd"/>
      <w:r w:rsidRPr="00B87DD5">
        <w:rPr>
          <w:rFonts w:eastAsia="Calibri" w:cs="Calibri Light"/>
          <w:color w:val="000000" w:themeColor="text1"/>
          <w:szCs w:val="24"/>
          <w:lang w:val="el-GR"/>
        </w:rPr>
        <w:t xml:space="preserve"> και του προγράμματος ΤΕΕ-ΚΕΝΑΚ που χρησιμοποιή</w:t>
      </w:r>
      <w:r w:rsidR="00274C37" w:rsidRPr="00B87DD5">
        <w:rPr>
          <w:rFonts w:eastAsia="Calibri" w:cs="Calibri Light"/>
          <w:color w:val="000000" w:themeColor="text1"/>
          <w:szCs w:val="24"/>
          <w:lang w:val="el-GR"/>
        </w:rPr>
        <w:t>θηκε</w:t>
      </w:r>
      <w:r w:rsidRPr="00B87DD5">
        <w:rPr>
          <w:rFonts w:eastAsia="Calibri" w:cs="Calibri Light"/>
          <w:color w:val="000000" w:themeColor="text1"/>
          <w:szCs w:val="24"/>
          <w:lang w:val="el-GR"/>
        </w:rPr>
        <w:t>.</w:t>
      </w:r>
      <w:r w:rsidR="00005D1A" w:rsidRPr="00005D1A">
        <w:rPr>
          <w:rFonts w:eastAsia="Calibri" w:cs="Calibri Light"/>
          <w:color w:val="000000" w:themeColor="text1"/>
          <w:szCs w:val="24"/>
          <w:lang w:val="el-GR"/>
        </w:rPr>
        <w:t xml:space="preserve"> </w:t>
      </w:r>
    </w:p>
    <w:p w:rsidR="00E13DAB" w:rsidRPr="00005D1A" w:rsidRDefault="00E13DAB" w:rsidP="00102920">
      <w:pPr>
        <w:keepNext/>
        <w:widowControl w:val="0"/>
        <w:spacing w:after="0" w:line="360" w:lineRule="auto"/>
        <w:rPr>
          <w:rFonts w:eastAsia="Calibri" w:cs="Calibri Light"/>
          <w:color w:val="000000" w:themeColor="text1"/>
          <w:szCs w:val="24"/>
          <w:lang w:val="el-GR"/>
        </w:rPr>
      </w:pPr>
    </w:p>
    <w:p w:rsidR="00102920" w:rsidRPr="00693063" w:rsidRDefault="00102920" w:rsidP="00B079C0">
      <w:pPr>
        <w:jc w:val="left"/>
        <w:rPr>
          <w:rFonts w:eastAsia="Calibri" w:cs="Calibri Light"/>
          <w:b/>
          <w:i/>
          <w:color w:val="000000" w:themeColor="text1"/>
          <w:sz w:val="28"/>
          <w:szCs w:val="24"/>
          <w:lang w:val="el-GR"/>
        </w:rPr>
      </w:pPr>
      <w:r w:rsidRPr="00693063">
        <w:rPr>
          <w:rFonts w:eastAsia="Calibri" w:cs="Calibri Light"/>
          <w:b/>
          <w:i/>
          <w:color w:val="000000" w:themeColor="text1"/>
          <w:sz w:val="28"/>
          <w:szCs w:val="24"/>
          <w:lang w:val="el-GR"/>
        </w:rPr>
        <w:br w:type="page"/>
      </w:r>
    </w:p>
    <w:p w:rsidR="00192803" w:rsidRPr="001B01C1" w:rsidRDefault="00192803" w:rsidP="001B01C1">
      <w:pPr>
        <w:rPr>
          <w:rFonts w:cs="Calibri Light"/>
          <w:sz w:val="52"/>
          <w:szCs w:val="52"/>
          <w:lang w:val="el-GR"/>
        </w:rPr>
      </w:pPr>
    </w:p>
    <w:p w:rsidR="008D6D41" w:rsidRPr="00FD5D1A" w:rsidRDefault="00192803" w:rsidP="008D6D41">
      <w:pPr>
        <w:pStyle w:val="IEESL-3"/>
        <w:rPr>
          <w:b w:val="0"/>
          <w:sz w:val="22"/>
          <w:szCs w:val="22"/>
        </w:rPr>
      </w:pPr>
      <w:r w:rsidRPr="00F22253">
        <w:rPr>
          <w:rFonts w:eastAsiaTheme="majorEastAsia"/>
        </w:rPr>
        <w:t xml:space="preserve">ΚΕΦΑΛΑΙΟ </w:t>
      </w:r>
      <w:r w:rsidR="008F144E" w:rsidRPr="00F22253">
        <w:rPr>
          <w:rFonts w:eastAsiaTheme="majorEastAsia"/>
        </w:rPr>
        <w:t>2</w:t>
      </w:r>
      <w:r w:rsidR="00144BFA">
        <w:t xml:space="preserve"> </w:t>
      </w:r>
    </w:p>
    <w:p w:rsidR="00844A38" w:rsidRPr="003C5364" w:rsidRDefault="00844A38" w:rsidP="00844A38">
      <w:pPr>
        <w:rPr>
          <w:lang w:val="el-GR"/>
        </w:rPr>
      </w:pPr>
    </w:p>
    <w:p w:rsidR="00192803" w:rsidRPr="00693063" w:rsidRDefault="00192803" w:rsidP="00631276">
      <w:pPr>
        <w:rPr>
          <w:b/>
          <w:sz w:val="28"/>
          <w:lang w:val="el-GR"/>
        </w:rPr>
      </w:pPr>
      <w:r w:rsidRPr="00693063">
        <w:rPr>
          <w:b/>
          <w:sz w:val="28"/>
          <w:lang w:val="el-GR"/>
        </w:rPr>
        <w:br w:type="page"/>
      </w:r>
    </w:p>
    <w:p w:rsidR="00192803" w:rsidRPr="001B01C1" w:rsidRDefault="00192803" w:rsidP="001B01C1">
      <w:pPr>
        <w:rPr>
          <w:rFonts w:cs="Calibri Light"/>
          <w:sz w:val="52"/>
          <w:szCs w:val="52"/>
          <w:lang w:val="el-GR"/>
        </w:rPr>
      </w:pPr>
    </w:p>
    <w:p w:rsidR="00590358" w:rsidRPr="00FD5D1A" w:rsidRDefault="00192803" w:rsidP="00590358">
      <w:pPr>
        <w:pStyle w:val="IEESL-3"/>
        <w:rPr>
          <w:b w:val="0"/>
          <w:sz w:val="22"/>
          <w:szCs w:val="22"/>
        </w:rPr>
      </w:pPr>
      <w:r w:rsidRPr="008D6D41">
        <w:t xml:space="preserve">ΚΕΦΑΛΑΙΟ </w:t>
      </w:r>
      <w:r w:rsidR="008F144E" w:rsidRPr="008D6D41">
        <w:t>3</w:t>
      </w:r>
      <w:r w:rsidR="00144BFA" w:rsidRPr="008D6D41">
        <w:t xml:space="preserve"> </w:t>
      </w:r>
    </w:p>
    <w:p w:rsidR="00F63045" w:rsidRPr="003C5364" w:rsidRDefault="00B31C55" w:rsidP="00F63045">
      <w:pPr>
        <w:rPr>
          <w:rFonts w:cs="Calibri Light"/>
          <w:szCs w:val="24"/>
          <w:lang w:val="el-GR"/>
        </w:rPr>
      </w:pPr>
      <w:r w:rsidRPr="00693063">
        <w:rPr>
          <w:rFonts w:cs="Calibri Light"/>
          <w:szCs w:val="24"/>
          <w:lang w:val="el-GR"/>
        </w:rPr>
        <w:br w:type="page"/>
      </w:r>
    </w:p>
    <w:p w:rsidR="00F63045" w:rsidRPr="00693063" w:rsidRDefault="00F63045" w:rsidP="001B01C1">
      <w:pPr>
        <w:pStyle w:val="Heading1"/>
        <w:rPr>
          <w:lang w:val="el-GR"/>
        </w:rPr>
      </w:pPr>
      <w:r w:rsidRPr="00693063">
        <w:rPr>
          <w:lang w:val="el-GR"/>
        </w:rPr>
        <w:lastRenderedPageBreak/>
        <w:t xml:space="preserve">Πίνακες </w:t>
      </w:r>
    </w:p>
    <w:p w:rsidR="009F2BDC" w:rsidRPr="001D2134" w:rsidRDefault="00F63045" w:rsidP="001B01C1">
      <w:pPr>
        <w:tabs>
          <w:tab w:val="left" w:pos="1418"/>
        </w:tabs>
        <w:rPr>
          <w:rFonts w:cs="Calibri Light"/>
          <w:szCs w:val="24"/>
          <w:lang w:val="el-GR"/>
        </w:rPr>
      </w:pPr>
      <w:r w:rsidRPr="00693063">
        <w:rPr>
          <w:rFonts w:cs="Calibri Light"/>
          <w:szCs w:val="24"/>
          <w:lang w:val="el-GR"/>
        </w:rPr>
        <w:t>Ο τίτλος του πίνακα αναγράφεται πάνω από τον πίνακα, ξεκινώντας από την αρχή της σειράς. Περιλαμβάνει αρίθμηση και τίτλο. Ο πίνακας πρέπει να είναι ολοκληρωμένος και</w:t>
      </w:r>
      <w:r w:rsidR="00210547" w:rsidRPr="00693063">
        <w:rPr>
          <w:rFonts w:cs="Calibri Light"/>
          <w:szCs w:val="24"/>
          <w:lang w:val="el-GR"/>
        </w:rPr>
        <w:t xml:space="preserve"> </w:t>
      </w:r>
      <w:r w:rsidRPr="00693063">
        <w:rPr>
          <w:rFonts w:cs="Calibri Light"/>
          <w:szCs w:val="24"/>
          <w:lang w:val="el-GR"/>
        </w:rPr>
        <w:t>«αυτάρκης», δηλαδή να μην</w:t>
      </w:r>
      <w:bookmarkStart w:id="0" w:name="_GoBack"/>
      <w:bookmarkEnd w:id="0"/>
      <w:r w:rsidRPr="00693063">
        <w:rPr>
          <w:rFonts w:cs="Calibri Light"/>
          <w:szCs w:val="24"/>
          <w:lang w:val="el-GR"/>
        </w:rPr>
        <w:t xml:space="preserve"> παραπέμπει αλλού. Η θέση του πίνακα πρέπει να είναι στο κέντρο της σελίδας. Το περιεχόμενο των κυψελών του πίνακα πρέπει να είναι κεντραρισμένο (όπου είναι δυνατόν).</w:t>
      </w:r>
      <w:r w:rsidR="00210547" w:rsidRPr="00693063">
        <w:rPr>
          <w:rFonts w:cs="Calibri Light"/>
          <w:szCs w:val="24"/>
          <w:lang w:val="el-GR"/>
        </w:rPr>
        <w:t xml:space="preserve"> </w:t>
      </w:r>
      <w:r w:rsidRPr="00693063">
        <w:rPr>
          <w:rFonts w:cs="Calibri Light"/>
          <w:szCs w:val="24"/>
          <w:lang w:val="el-GR"/>
        </w:rPr>
        <w:t>Πρέπει να υπάρχει αναφορά του πίνακα στο κείμενο.</w:t>
      </w:r>
      <w:r w:rsidR="009F2BDC">
        <w:rPr>
          <w:rFonts w:cs="Calibri Light"/>
          <w:szCs w:val="24"/>
          <w:lang w:val="el-GR"/>
        </w:rPr>
        <w:t xml:space="preserve"> Αυτό ισχύει μόνο για πίνακες που παίρνονται έτοιμοι από ένα άρθρο ή βιβλίο (σαν εικόνες). Οι πίνακες που φτιάχνονται από το φοιτητή </w:t>
      </w:r>
      <w:r w:rsidR="006B76F9">
        <w:rPr>
          <w:rFonts w:cs="Calibri Light"/>
          <w:szCs w:val="24"/>
          <w:lang w:val="el-GR"/>
        </w:rPr>
        <w:t>με χρήση</w:t>
      </w:r>
      <w:r w:rsidR="009F2BDC">
        <w:rPr>
          <w:rFonts w:cs="Calibri Light"/>
          <w:szCs w:val="24"/>
          <w:lang w:val="el-GR"/>
        </w:rPr>
        <w:t xml:space="preserve"> εργαλείων του «</w:t>
      </w:r>
      <w:r w:rsidR="009F2BDC">
        <w:rPr>
          <w:rFonts w:cs="Calibri Light"/>
          <w:szCs w:val="24"/>
        </w:rPr>
        <w:t>word</w:t>
      </w:r>
      <w:r w:rsidR="009F2BDC">
        <w:rPr>
          <w:rFonts w:cs="Calibri Light"/>
          <w:szCs w:val="24"/>
          <w:lang w:val="el-GR"/>
        </w:rPr>
        <w:t>» δεν έχουν αναφορά</w:t>
      </w:r>
      <w:r w:rsidR="00D54D8C" w:rsidRPr="00D54D8C">
        <w:rPr>
          <w:rFonts w:cs="Calibri Light"/>
          <w:szCs w:val="24"/>
          <w:lang w:val="el-GR"/>
        </w:rPr>
        <w:t xml:space="preserve"> </w:t>
      </w:r>
      <w:r w:rsidR="00D54D8C">
        <w:rPr>
          <w:rFonts w:cs="Calibri Light"/>
          <w:szCs w:val="24"/>
          <w:lang w:val="el-GR"/>
        </w:rPr>
        <w:fldChar w:fldCharType="begin" w:fldLock="1"/>
      </w:r>
      <w:r w:rsidR="00D54D8C">
        <w:rPr>
          <w:rFonts w:cs="Calibri Light"/>
          <w:szCs w:val="24"/>
          <w:lang w:val="el-GR"/>
        </w:rPr>
        <w:instrText>ADDIN CSL_CITATION {"citationItems":[{"id":"ITEM-1","itemData":{"DOI":"10.1080/15568318.2016.1185484","ISSN":"15568334","abstract":"© 2016 Taylor &amp; Francis Group, LLC. In this article a bottom-up methodology based on in-port ships activity has been applied to calculate exhaust pollutant values (NO x , SO 2 , and PM 2.5 ) during moving/maneuvering and while hoteling for international cruise ship journeys to and from 18 ports of Greece during 2013. The estimated emissions were analyzed in terms of gas species, seasonality, and activity. In terms of the total in-port inventory for cruise shipping, NO x is dominant (2487.9 tons), followed by SO 2 and PM 2.5 (995.3 and 121.3 tons respectively), while the total emissions of greenhouse gases (GHG) were 124,767.8 tons CO 2 -eq (for CO 2 , N 2 O, and CH 4 ). Emissions during hoteling corresponded to 89.2% of total, and significantly outweighed those produced during the vessels' maneuvering activities (10.8% of total). Seasonality was found to play a major role, as summer emissions and associated impacts are more profound. In almost all major ports, an extension of the tourism season to October and November has been observed, leading to increased autumn emissions. The estimated inventory indicates the necessity of measures for careful control over the emissions produced by cruise ships in port cities through effective environmental policy making.","author":[{"dropping-particle":"","family":"Papaefthimiou","given":"S.","non-dropping-particle":"","parse-names":false,"suffix":""},{"dropping-particle":"","family":"Maragkogianni","given":"A.","non-dropping-particle":"","parse-names":false,"suffix":""},{"dropping-particle":"","family":"Andriosopoulos","given":"K.","non-dropping-particle":"","parse-names":false,"suffix":""}],"container-title":"International Journal of Sustainable Transportation","id":"ITEM-1","issue":"10","issued":{"date-parts":[["2016"]]},"page":"985-994","title":"Evaluation of cruise ships emissions in the Mediterranean basin: The case of Greek ports","type":"article-journal","volume":"10"},"uris":["http://www.mendeley.com/documents/?uuid=243b04d4-0db3-324b-8511-41f7ee3800fc"]}],"mendeley":{"formattedCitation":"[1]","plainTextFormattedCitation":"[1]","previouslyFormattedCitation":"[1]"},"properties":{"noteIndex":0},"schema":"https://github.com/citation-style-language/schema/raw/master/csl-citation.json"}</w:instrText>
      </w:r>
      <w:r w:rsidR="00D54D8C">
        <w:rPr>
          <w:rFonts w:cs="Calibri Light"/>
          <w:szCs w:val="24"/>
          <w:lang w:val="el-GR"/>
        </w:rPr>
        <w:fldChar w:fldCharType="separate"/>
      </w:r>
      <w:r w:rsidR="00D54D8C" w:rsidRPr="00D54D8C">
        <w:rPr>
          <w:rFonts w:cs="Calibri Light"/>
          <w:noProof/>
          <w:szCs w:val="24"/>
          <w:lang w:val="el-GR"/>
        </w:rPr>
        <w:t>[1]</w:t>
      </w:r>
      <w:r w:rsidR="00D54D8C">
        <w:rPr>
          <w:rFonts w:cs="Calibri Light"/>
          <w:szCs w:val="24"/>
          <w:lang w:val="el-GR"/>
        </w:rPr>
        <w:fldChar w:fldCharType="end"/>
      </w:r>
      <w:r w:rsidR="009F2BDC">
        <w:rPr>
          <w:rFonts w:cs="Calibri Light"/>
          <w:szCs w:val="24"/>
          <w:lang w:val="el-GR"/>
        </w:rPr>
        <w:t>.</w:t>
      </w:r>
    </w:p>
    <w:p w:rsidR="00F63045" w:rsidRPr="00C6732A" w:rsidRDefault="00F63045" w:rsidP="0024682D">
      <w:pPr>
        <w:pStyle w:val="IEESL-6"/>
        <w:rPr>
          <w:b/>
          <w:szCs w:val="22"/>
        </w:rPr>
      </w:pPr>
      <w:r w:rsidRPr="00693063">
        <w:rPr>
          <w:b/>
        </w:rPr>
        <w:t>Πίνακας 1.4:</w:t>
      </w:r>
      <w:r w:rsidRPr="00693063">
        <w:t xml:space="preserve"> Συγκέντρωση Αερίων του Θερμοκηπίου </w:t>
      </w:r>
      <w:r w:rsidR="00D54D8C">
        <w:fldChar w:fldCharType="begin" w:fldLock="1"/>
      </w:r>
      <w:r w:rsidR="00D54D8C">
        <w:instrText>ADDIN CSL_CITATION {"citationItems":[{"id":"ITEM-1","itemData":{"DOI":"10.4018/978-1-4666-4098-6.ch015","ISBN":"9781466640993 | 1466640987 | 9781466640986","abstract":"© 2013 by IGI Global. All rights reserved.The transportation sector is a constantly growing source of greenhouse gas emissions, and its inclusion in the European Union Emissions Trading Scheme (EU-ETS) has become inevitable, aiming to mitigate climate change effects. This chapter summarises the operation of the scheme, the accompanying legal framework, the induced implications, and the necessary requirements for the inclusion of transportation sub-sectors in the scheme. The implementation of the EU-ETS in aviation, shipping, and road transport is described, while details on the emissions trading and allowances allocation are provided. The processes of monitoring, reporting, and verification of emissions are reported along with the energy challenges, environmental, and financial impacts of the anticipated market based measures.","author":[{"dropping-particle":"","family":"Maragkogianni","given":"A.","non-dropping-particle":"","parse-names":false,"suffix":""},{"dropping-particle":"","family":"Papaefthimiou","given":"S.","non-dropping-particle":"","parse-names":false,"suffix":""},{"dropping-particle":"","family":"Zopounidis","given":"C.","non-dropping-particle":"","parse-names":false,"suffix":""}],"container-title":"Sustainable technologies, policies and Constrains in the Green Economy","id":"ITEM-1","issued":{"date-parts":[["2013"]]},"page":"21","title":"Emissions trading schemes in the transportation sector","type":"chapter","volume":"1"},"uris":["http://www.mendeley.com/documents/?uuid=3ce55755-35d7-3ecc-968a-976e22c18921"]}],"mendeley":{"formattedCitation":"[2]","plainTextFormattedCitation":"[2]","previouslyFormattedCitation":"[2]"},"properties":{"noteIndex":0},"schema":"https://github.com/citation-style-language/schema/raw/master/csl-citation.json"}</w:instrText>
      </w:r>
      <w:r w:rsidR="00D54D8C">
        <w:fldChar w:fldCharType="separate"/>
      </w:r>
      <w:r w:rsidR="00D54D8C" w:rsidRPr="00D54D8C">
        <w:rPr>
          <w:noProof/>
        </w:rPr>
        <w:t>[2]</w:t>
      </w:r>
      <w:r w:rsidR="00D54D8C">
        <w:fldChar w:fldCharType="end"/>
      </w:r>
      <w:r w:rsidR="00C6732A">
        <w:t xml:space="preserve"> </w:t>
      </w:r>
    </w:p>
    <w:tbl>
      <w:tblPr>
        <w:tblW w:w="0" w:type="auto"/>
        <w:jc w:val="center"/>
        <w:tblLayout w:type="fixed"/>
        <w:tblCellMar>
          <w:left w:w="0" w:type="dxa"/>
          <w:right w:w="0" w:type="dxa"/>
        </w:tblCellMar>
        <w:tblLook w:val="0000" w:firstRow="0" w:lastRow="0" w:firstColumn="0" w:lastColumn="0" w:noHBand="0" w:noVBand="0"/>
      </w:tblPr>
      <w:tblGrid>
        <w:gridCol w:w="3468"/>
        <w:gridCol w:w="1911"/>
      </w:tblGrid>
      <w:tr w:rsidR="00D07C2C" w:rsidRPr="00693063" w:rsidTr="0024682D">
        <w:trPr>
          <w:trHeight w:val="20"/>
          <w:jc w:val="center"/>
        </w:trPr>
        <w:tc>
          <w:tcPr>
            <w:tcW w:w="3468" w:type="dxa"/>
            <w:tcBorders>
              <w:top w:val="single" w:sz="6" w:space="0" w:color="000000"/>
              <w:left w:val="single" w:sz="6" w:space="0" w:color="000000"/>
              <w:bottom w:val="single" w:sz="6" w:space="0" w:color="000000"/>
              <w:right w:val="single" w:sz="6" w:space="0" w:color="000000"/>
            </w:tcBorders>
            <w:vAlign w:val="center"/>
          </w:tcPr>
          <w:p w:rsidR="00D07C2C" w:rsidRPr="00C93634" w:rsidRDefault="00D07C2C" w:rsidP="0024682D">
            <w:pPr>
              <w:pStyle w:val="IEESL-6"/>
              <w:tabs>
                <w:tab w:val="left" w:pos="1418"/>
              </w:tabs>
              <w:spacing w:after="0"/>
              <w:rPr>
                <w:b/>
                <w:sz w:val="24"/>
                <w:szCs w:val="24"/>
              </w:rPr>
            </w:pPr>
            <w:r w:rsidRPr="00C93634">
              <w:rPr>
                <w:b/>
              </w:rPr>
              <w:t>Αέρια Θερμοκηπίου</w:t>
            </w:r>
          </w:p>
        </w:tc>
        <w:tc>
          <w:tcPr>
            <w:tcW w:w="1911" w:type="dxa"/>
            <w:tcBorders>
              <w:top w:val="single" w:sz="6" w:space="0" w:color="000000"/>
              <w:left w:val="single" w:sz="6" w:space="0" w:color="000000"/>
              <w:bottom w:val="single" w:sz="6" w:space="0" w:color="000000"/>
              <w:right w:val="single" w:sz="6" w:space="0" w:color="000000"/>
            </w:tcBorders>
            <w:vAlign w:val="center"/>
          </w:tcPr>
          <w:p w:rsidR="00D07C2C" w:rsidRPr="00C93634" w:rsidRDefault="00D07C2C" w:rsidP="0024682D">
            <w:pPr>
              <w:pStyle w:val="IEESL-6"/>
              <w:tabs>
                <w:tab w:val="left" w:pos="1418"/>
              </w:tabs>
              <w:spacing w:after="0"/>
              <w:rPr>
                <w:b/>
                <w:sz w:val="24"/>
                <w:szCs w:val="24"/>
              </w:rPr>
            </w:pPr>
            <w:r w:rsidRPr="00C93634">
              <w:rPr>
                <w:b/>
              </w:rPr>
              <w:t>1996</w:t>
            </w:r>
          </w:p>
        </w:tc>
      </w:tr>
      <w:tr w:rsidR="00D07C2C" w:rsidRPr="00693063" w:rsidTr="0024682D">
        <w:trPr>
          <w:trHeight w:val="20"/>
          <w:jc w:val="center"/>
        </w:trPr>
        <w:tc>
          <w:tcPr>
            <w:tcW w:w="3468" w:type="dxa"/>
            <w:tcBorders>
              <w:top w:val="single" w:sz="6" w:space="0" w:color="000000"/>
              <w:left w:val="single" w:sz="6" w:space="0" w:color="000000"/>
              <w:bottom w:val="single" w:sz="6" w:space="0" w:color="000000"/>
              <w:right w:val="single" w:sz="6" w:space="0" w:color="000000"/>
            </w:tcBorders>
            <w:vAlign w:val="center"/>
          </w:tcPr>
          <w:p w:rsidR="00D07C2C" w:rsidRPr="00693063" w:rsidRDefault="00D07C2C" w:rsidP="0024682D">
            <w:pPr>
              <w:pStyle w:val="IEESL-6"/>
              <w:tabs>
                <w:tab w:val="left" w:pos="1418"/>
              </w:tabs>
              <w:spacing w:after="0"/>
            </w:pPr>
            <w:r w:rsidRPr="00693063">
              <w:t>CO</w:t>
            </w:r>
            <w:r w:rsidRPr="00693063">
              <w:rPr>
                <w:vertAlign w:val="subscript"/>
              </w:rPr>
              <w:t>2</w:t>
            </w:r>
          </w:p>
        </w:tc>
        <w:tc>
          <w:tcPr>
            <w:tcW w:w="1911" w:type="dxa"/>
            <w:tcBorders>
              <w:top w:val="single" w:sz="6" w:space="0" w:color="000000"/>
              <w:left w:val="single" w:sz="6" w:space="0" w:color="000000"/>
              <w:bottom w:val="single" w:sz="6" w:space="0" w:color="000000"/>
              <w:right w:val="single" w:sz="6" w:space="0" w:color="000000"/>
            </w:tcBorders>
            <w:vAlign w:val="center"/>
          </w:tcPr>
          <w:p w:rsidR="00D07C2C" w:rsidRPr="00693063" w:rsidRDefault="00D07C2C" w:rsidP="0024682D">
            <w:pPr>
              <w:pStyle w:val="IEESL-6"/>
              <w:tabs>
                <w:tab w:val="left" w:pos="1418"/>
              </w:tabs>
              <w:spacing w:after="0"/>
              <w:rPr>
                <w:sz w:val="24"/>
                <w:szCs w:val="24"/>
              </w:rPr>
            </w:pPr>
            <w:r w:rsidRPr="00693063">
              <w:t xml:space="preserve">35300 </w:t>
            </w:r>
            <w:proofErr w:type="spellStart"/>
            <w:r w:rsidRPr="00693063">
              <w:t>ppb</w:t>
            </w:r>
            <w:proofErr w:type="spellEnd"/>
          </w:p>
        </w:tc>
      </w:tr>
      <w:tr w:rsidR="00D07C2C" w:rsidRPr="00693063" w:rsidTr="0024682D">
        <w:trPr>
          <w:trHeight w:val="20"/>
          <w:jc w:val="center"/>
        </w:trPr>
        <w:tc>
          <w:tcPr>
            <w:tcW w:w="3468" w:type="dxa"/>
            <w:tcBorders>
              <w:top w:val="single" w:sz="6" w:space="0" w:color="000000"/>
              <w:left w:val="single" w:sz="6" w:space="0" w:color="000000"/>
              <w:bottom w:val="single" w:sz="6" w:space="0" w:color="000000"/>
              <w:right w:val="single" w:sz="6" w:space="0" w:color="000000"/>
            </w:tcBorders>
            <w:vAlign w:val="center"/>
          </w:tcPr>
          <w:p w:rsidR="00D07C2C" w:rsidRPr="00693063" w:rsidRDefault="00D07C2C" w:rsidP="0024682D">
            <w:pPr>
              <w:pStyle w:val="IEESL-6"/>
              <w:tabs>
                <w:tab w:val="left" w:pos="1418"/>
              </w:tabs>
              <w:spacing w:after="0"/>
              <w:rPr>
                <w:sz w:val="24"/>
                <w:szCs w:val="24"/>
              </w:rPr>
            </w:pPr>
            <w:r w:rsidRPr="00693063">
              <w:t>CH</w:t>
            </w:r>
            <w:r w:rsidRPr="00693063">
              <w:rPr>
                <w:vertAlign w:val="subscript"/>
              </w:rPr>
              <w:t>4</w:t>
            </w:r>
          </w:p>
        </w:tc>
        <w:tc>
          <w:tcPr>
            <w:tcW w:w="1911" w:type="dxa"/>
            <w:tcBorders>
              <w:top w:val="single" w:sz="6" w:space="0" w:color="000000"/>
              <w:left w:val="single" w:sz="6" w:space="0" w:color="000000"/>
              <w:bottom w:val="single" w:sz="6" w:space="0" w:color="000000"/>
              <w:right w:val="single" w:sz="6" w:space="0" w:color="000000"/>
            </w:tcBorders>
            <w:vAlign w:val="center"/>
          </w:tcPr>
          <w:p w:rsidR="00D07C2C" w:rsidRPr="00693063" w:rsidRDefault="00D07C2C" w:rsidP="0024682D">
            <w:pPr>
              <w:pStyle w:val="IEESL-6"/>
              <w:tabs>
                <w:tab w:val="left" w:pos="1418"/>
              </w:tabs>
              <w:spacing w:after="0"/>
              <w:rPr>
                <w:sz w:val="24"/>
                <w:szCs w:val="24"/>
              </w:rPr>
            </w:pPr>
            <w:r w:rsidRPr="00693063">
              <w:t xml:space="preserve">1720 </w:t>
            </w:r>
            <w:proofErr w:type="spellStart"/>
            <w:r w:rsidRPr="00693063">
              <w:t>ppb</w:t>
            </w:r>
            <w:proofErr w:type="spellEnd"/>
          </w:p>
        </w:tc>
      </w:tr>
      <w:tr w:rsidR="00D07C2C" w:rsidRPr="00693063" w:rsidTr="0024682D">
        <w:trPr>
          <w:trHeight w:val="20"/>
          <w:jc w:val="center"/>
        </w:trPr>
        <w:tc>
          <w:tcPr>
            <w:tcW w:w="3468" w:type="dxa"/>
            <w:tcBorders>
              <w:top w:val="single" w:sz="6" w:space="0" w:color="000000"/>
              <w:left w:val="single" w:sz="6" w:space="0" w:color="000000"/>
              <w:bottom w:val="single" w:sz="6" w:space="0" w:color="000000"/>
              <w:right w:val="single" w:sz="6" w:space="0" w:color="000000"/>
            </w:tcBorders>
            <w:vAlign w:val="center"/>
          </w:tcPr>
          <w:p w:rsidR="00D07C2C" w:rsidRPr="00693063" w:rsidRDefault="00D07C2C" w:rsidP="0024682D">
            <w:pPr>
              <w:pStyle w:val="IEESL-6"/>
              <w:tabs>
                <w:tab w:val="left" w:pos="1418"/>
              </w:tabs>
              <w:spacing w:after="0"/>
              <w:rPr>
                <w:sz w:val="24"/>
                <w:szCs w:val="24"/>
              </w:rPr>
            </w:pPr>
            <w:proofErr w:type="spellStart"/>
            <w:r w:rsidRPr="00693063">
              <w:t>CFCs</w:t>
            </w:r>
            <w:proofErr w:type="spellEnd"/>
          </w:p>
        </w:tc>
        <w:tc>
          <w:tcPr>
            <w:tcW w:w="1911" w:type="dxa"/>
            <w:tcBorders>
              <w:top w:val="single" w:sz="6" w:space="0" w:color="000000"/>
              <w:left w:val="single" w:sz="6" w:space="0" w:color="000000"/>
              <w:bottom w:val="single" w:sz="6" w:space="0" w:color="000000"/>
              <w:right w:val="single" w:sz="6" w:space="0" w:color="000000"/>
            </w:tcBorders>
            <w:vAlign w:val="center"/>
          </w:tcPr>
          <w:p w:rsidR="00D07C2C" w:rsidRPr="00693063" w:rsidRDefault="00D07C2C" w:rsidP="0024682D">
            <w:pPr>
              <w:pStyle w:val="IEESL-6"/>
              <w:tabs>
                <w:tab w:val="left" w:pos="1418"/>
              </w:tabs>
              <w:spacing w:after="0"/>
              <w:rPr>
                <w:sz w:val="24"/>
                <w:szCs w:val="24"/>
              </w:rPr>
            </w:pPr>
            <w:r w:rsidRPr="00693063">
              <w:t xml:space="preserve">0.76 </w:t>
            </w:r>
            <w:proofErr w:type="spellStart"/>
            <w:r w:rsidRPr="00693063">
              <w:t>ppb</w:t>
            </w:r>
            <w:proofErr w:type="spellEnd"/>
          </w:p>
        </w:tc>
      </w:tr>
    </w:tbl>
    <w:p w:rsidR="00534C03" w:rsidRPr="00693063" w:rsidRDefault="00534C03" w:rsidP="001B01C1">
      <w:pPr>
        <w:tabs>
          <w:tab w:val="left" w:pos="1418"/>
        </w:tabs>
        <w:rPr>
          <w:rFonts w:cs="Calibri Light"/>
          <w:szCs w:val="24"/>
          <w:lang w:val="el-GR"/>
        </w:rPr>
      </w:pPr>
    </w:p>
    <w:p w:rsidR="00F63045" w:rsidRPr="00693063" w:rsidRDefault="00F63045" w:rsidP="001B01C1">
      <w:pPr>
        <w:pStyle w:val="Heading1"/>
        <w:rPr>
          <w:lang w:val="el-GR"/>
        </w:rPr>
      </w:pPr>
      <w:r w:rsidRPr="00693063">
        <w:rPr>
          <w:lang w:val="el-GR"/>
        </w:rPr>
        <w:t xml:space="preserve">Σχήματα </w:t>
      </w:r>
    </w:p>
    <w:p w:rsidR="00F63045" w:rsidRPr="001B01C1" w:rsidRDefault="00F63045" w:rsidP="001B01C1">
      <w:pPr>
        <w:tabs>
          <w:tab w:val="left" w:pos="1418"/>
        </w:tabs>
        <w:rPr>
          <w:rFonts w:cs="Calibri Light"/>
          <w:szCs w:val="24"/>
          <w:lang w:val="el-GR"/>
        </w:rPr>
      </w:pPr>
      <w:r w:rsidRPr="00693063">
        <w:rPr>
          <w:rFonts w:cs="Calibri Light"/>
          <w:szCs w:val="24"/>
          <w:lang w:val="el-GR"/>
        </w:rPr>
        <w:t xml:space="preserve">Σχήματα, εικόνες, διαγράμματα, </w:t>
      </w:r>
      <w:proofErr w:type="spellStart"/>
      <w:r w:rsidRPr="00693063">
        <w:rPr>
          <w:rFonts w:cs="Calibri Light"/>
          <w:szCs w:val="24"/>
          <w:lang w:val="el-GR"/>
        </w:rPr>
        <w:t>κλπ</w:t>
      </w:r>
      <w:proofErr w:type="spellEnd"/>
      <w:r w:rsidR="00D54D8C" w:rsidRPr="00D54D8C">
        <w:rPr>
          <w:rFonts w:cs="Calibri Light"/>
          <w:szCs w:val="24"/>
          <w:lang w:val="el-GR"/>
        </w:rPr>
        <w:t>,</w:t>
      </w:r>
      <w:r w:rsidRPr="00693063">
        <w:rPr>
          <w:rFonts w:cs="Calibri Light"/>
          <w:szCs w:val="24"/>
          <w:lang w:val="el-GR"/>
        </w:rPr>
        <w:t xml:space="preserve"> όλα ονομάζονται σχήματα. </w:t>
      </w:r>
      <w:r w:rsidR="001D2134">
        <w:rPr>
          <w:rFonts w:cs="Calibri Light"/>
          <w:szCs w:val="24"/>
          <w:lang w:val="el-GR"/>
        </w:rPr>
        <w:t xml:space="preserve">Πρέπει όμως να αναγράφεται τι είναι το καθένα. Αν, για παράδειγμα είναι σχήμα ή εικόνα ή διάγραμμα. </w:t>
      </w:r>
      <w:r w:rsidRPr="00693063">
        <w:rPr>
          <w:rFonts w:cs="Calibri Light"/>
          <w:szCs w:val="24"/>
          <w:lang w:val="el-GR"/>
        </w:rPr>
        <w:t xml:space="preserve">Ο τίτλος του σχήματος αναγράφεται κάτω από το σχήμα, ξεκινώντας από την αρχή της σειράς. Η θέση του σχήματος πρέπει να είναι στο κέντρο της σελίδας. Η αρίθμηση των σχημάτων γίνεται όπως ακριβώς και των πινάκων. Η αρίθμησή τους είναι ανεξάρτητη από </w:t>
      </w:r>
      <w:r w:rsidR="00D54D8C">
        <w:rPr>
          <w:rFonts w:cs="Calibri Light"/>
          <w:szCs w:val="24"/>
          <w:lang w:val="el-GR"/>
        </w:rPr>
        <w:t xml:space="preserve">αυτή </w:t>
      </w:r>
      <w:r w:rsidRPr="00693063">
        <w:rPr>
          <w:rFonts w:cs="Calibri Light"/>
          <w:szCs w:val="24"/>
          <w:lang w:val="el-GR"/>
        </w:rPr>
        <w:t>των πινάκων.</w:t>
      </w:r>
      <w:r w:rsidR="00173DD9" w:rsidRPr="001B01C1">
        <w:rPr>
          <w:rFonts w:cs="Calibri Light"/>
          <w:szCs w:val="24"/>
          <w:lang w:val="el-GR"/>
        </w:rPr>
        <w:t xml:space="preserve"> </w:t>
      </w:r>
    </w:p>
    <w:p w:rsidR="00F63045" w:rsidRPr="001D2134" w:rsidRDefault="00F63045" w:rsidP="001B01C1">
      <w:pPr>
        <w:tabs>
          <w:tab w:val="left" w:pos="1418"/>
        </w:tabs>
        <w:rPr>
          <w:rFonts w:cs="Calibri Light"/>
          <w:szCs w:val="24"/>
          <w:lang w:val="el-GR"/>
        </w:rPr>
      </w:pPr>
      <w:r w:rsidRPr="00693063">
        <w:rPr>
          <w:rFonts w:cs="Calibri Light"/>
          <w:szCs w:val="24"/>
          <w:lang w:val="el-GR"/>
        </w:rPr>
        <w:t>Πρέπει να υπάρχει αναφορά του σχήματος στο κείμενο.</w:t>
      </w:r>
      <w:r w:rsidR="001D2134">
        <w:rPr>
          <w:rFonts w:cs="Calibri Light"/>
          <w:szCs w:val="24"/>
          <w:lang w:val="el-GR"/>
        </w:rPr>
        <w:t xml:space="preserve"> Αυτό ισχύει μόνο για τα σχήματα, εικόνες ή διαγράμματα που παίρνονται </w:t>
      </w:r>
      <w:r w:rsidR="003E5575">
        <w:rPr>
          <w:rFonts w:cs="Calibri Light"/>
          <w:szCs w:val="24"/>
          <w:lang w:val="el-GR"/>
        </w:rPr>
        <w:t xml:space="preserve">έτοιμα </w:t>
      </w:r>
      <w:r w:rsidR="001D2134">
        <w:rPr>
          <w:rFonts w:cs="Calibri Light"/>
          <w:szCs w:val="24"/>
          <w:lang w:val="el-GR"/>
        </w:rPr>
        <w:t>από ένα άρθρο ή βιβλίο</w:t>
      </w:r>
      <w:r w:rsidR="009F2BDC">
        <w:rPr>
          <w:rFonts w:cs="Calibri Light"/>
          <w:szCs w:val="24"/>
          <w:lang w:val="el-GR"/>
        </w:rPr>
        <w:t xml:space="preserve"> (σαν εικόνες)</w:t>
      </w:r>
      <w:r w:rsidR="001D2134">
        <w:rPr>
          <w:rFonts w:cs="Calibri Light"/>
          <w:szCs w:val="24"/>
          <w:lang w:val="el-GR"/>
        </w:rPr>
        <w:t>. Τα σχήματα που φτιάχνονται από το φοιτητή ή τα διαγράμματα που προκύπτουν βάσει αποτελεσμάτων στο «</w:t>
      </w:r>
      <w:r w:rsidR="001D2134">
        <w:rPr>
          <w:rFonts w:cs="Calibri Light"/>
          <w:szCs w:val="24"/>
        </w:rPr>
        <w:t>Excel</w:t>
      </w:r>
      <w:r w:rsidR="001D2134">
        <w:rPr>
          <w:rFonts w:cs="Calibri Light"/>
          <w:szCs w:val="24"/>
          <w:lang w:val="el-GR"/>
        </w:rPr>
        <w:t>» δεν έχουν αναφορά.</w:t>
      </w:r>
    </w:p>
    <w:p w:rsidR="00F63045" w:rsidRPr="00693063" w:rsidRDefault="008E738B" w:rsidP="001B01C1">
      <w:pPr>
        <w:tabs>
          <w:tab w:val="left" w:pos="1418"/>
        </w:tabs>
        <w:spacing w:after="0" w:line="3220" w:lineRule="atLeast"/>
        <w:jc w:val="center"/>
        <w:rPr>
          <w:rFonts w:cs="Calibri Light"/>
          <w:szCs w:val="24"/>
          <w:lang w:val="el-GR"/>
        </w:rPr>
      </w:pPr>
      <w:r w:rsidRPr="00693063">
        <w:rPr>
          <w:rFonts w:cs="Calibri Light"/>
          <w:noProof/>
          <w:szCs w:val="24"/>
          <w:lang w:val="en-US"/>
        </w:rPr>
        <w:drawing>
          <wp:inline distT="0" distB="0" distL="0" distR="0" wp14:anchorId="2F4EDF76" wp14:editId="7FDF8F4D">
            <wp:extent cx="5219574" cy="20408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262" cy="2050934"/>
                    </a:xfrm>
                    <a:prstGeom prst="rect">
                      <a:avLst/>
                    </a:prstGeom>
                    <a:noFill/>
                  </pic:spPr>
                </pic:pic>
              </a:graphicData>
            </a:graphic>
          </wp:inline>
        </w:drawing>
      </w:r>
    </w:p>
    <w:p w:rsidR="00F63045" w:rsidRPr="00693063" w:rsidRDefault="0005313C" w:rsidP="001B01C1">
      <w:pPr>
        <w:pStyle w:val="IEESL-5"/>
        <w:tabs>
          <w:tab w:val="left" w:pos="1418"/>
        </w:tabs>
        <w:rPr>
          <w:rFonts w:cs="Calibri Light"/>
          <w:szCs w:val="24"/>
        </w:rPr>
      </w:pPr>
      <w:r w:rsidRPr="0005313C">
        <w:rPr>
          <w:b/>
        </w:rPr>
        <w:t>Σχήμα 2.3</w:t>
      </w:r>
      <w:r w:rsidR="008F6750" w:rsidRPr="0005313C">
        <w:rPr>
          <w:b/>
        </w:rPr>
        <w:t>:</w:t>
      </w:r>
      <w:r w:rsidR="008F6750" w:rsidRPr="0005313C">
        <w:t xml:space="preserve"> </w:t>
      </w:r>
      <w:r w:rsidRPr="00693063">
        <w:t xml:space="preserve">Ποσοστό συνεισφοράς του κλάδου μεταφορών στο φαινόμενο του Θερμοκηπίου </w:t>
      </w:r>
      <w:r w:rsidR="00D54D8C">
        <w:fldChar w:fldCharType="begin" w:fldLock="1"/>
      </w:r>
      <w:r w:rsidR="00D54D8C">
        <w:instrText>ADDIN CSL_CITATION {"citationItems":[{"id":"ITEM-1","itemData":{"DOI":"10.1007/978-3-030-30978-7_15","ISSN":"23520701","abstract":"© 2020, Springer Nature Switzerland AG. According to the latest estimates presented by IMO in “Third IMO GHG Study 2014” total shipping sector emitted 938 million tonnes of CO2 in 2012 that is about 2.6% of the total global CO2 anthropogenic emissions for that year. Although shipping is the most energy-efficient mode of mass transport and only a modest contributor to overall CO2 emissions, a global approach to further improve its energy efficiency and effective emission control is needed, as sea transport will continue growing apace with world trade. Emissions from international shipping cannot be attributed to any particular national economy due to its global nature and complex operation. This chapter covers policy measures towards climate and environmental protection within the shipping sector and in doing so, provides a detailed overview of the existing regulations of IMO and EU, analysing ancillary benefits of climate change policies.","author":[{"dropping-particle":"","family":"Doundoulakis","given":"E.","non-dropping-particle":"","parse-names":false,"suffix":""},{"dropping-particle":"","family":"Papaefthimiou","given":"S.","non-dropping-particle":"","parse-names":false,"suffix":""}],"container-title":"Springer Climate","id":"ITEM-1","issued":{"date-parts":[["2020"]]},"title":"Ancillary Benefits of Climate Policies in the Shipping Sector","type":"book"},"uris":["http://www.mendeley.com/documents/?uuid=db48b794-a50a-37c4-8d9e-f674734b06e6"]}],"mendeley":{"formattedCitation":"[3]","plainTextFormattedCitation":"[3]"},"properties":{"noteIndex":0},"schema":"https://github.com/citation-style-language/schema/raw/master/csl-citation.json"}</w:instrText>
      </w:r>
      <w:r w:rsidR="00D54D8C">
        <w:fldChar w:fldCharType="separate"/>
      </w:r>
      <w:r w:rsidR="00D54D8C" w:rsidRPr="00D54D8C">
        <w:rPr>
          <w:noProof/>
        </w:rPr>
        <w:t>[3]</w:t>
      </w:r>
      <w:r w:rsidR="00D54D8C">
        <w:fldChar w:fldCharType="end"/>
      </w:r>
      <w:r w:rsidRPr="0005313C">
        <w:t xml:space="preserve"> </w:t>
      </w:r>
    </w:p>
    <w:p w:rsidR="00F63045" w:rsidRPr="00693063" w:rsidRDefault="00F63045" w:rsidP="001B01C1">
      <w:pPr>
        <w:tabs>
          <w:tab w:val="left" w:pos="1418"/>
        </w:tabs>
        <w:rPr>
          <w:rFonts w:cs="Calibri Light"/>
          <w:szCs w:val="24"/>
          <w:lang w:val="el-GR"/>
        </w:rPr>
      </w:pPr>
    </w:p>
    <w:p w:rsidR="008E738B" w:rsidRPr="003C5364" w:rsidRDefault="008E738B" w:rsidP="001B01C1">
      <w:pPr>
        <w:pStyle w:val="Heading1"/>
        <w:rPr>
          <w:sz w:val="22"/>
          <w:szCs w:val="22"/>
        </w:rPr>
      </w:pPr>
      <w:r w:rsidRPr="003C00E2">
        <w:rPr>
          <w:rStyle w:val="Heading1Char"/>
          <w:b/>
          <w:lang w:val="el-GR"/>
        </w:rPr>
        <w:t>Συμπεράσματα</w:t>
      </w:r>
      <w:r w:rsidRPr="00693063">
        <w:rPr>
          <w:rFonts w:cs="Calibri Light"/>
          <w:spacing w:val="-2"/>
          <w:szCs w:val="32"/>
        </w:rPr>
        <w:t xml:space="preserve"> </w:t>
      </w:r>
    </w:p>
    <w:p w:rsidR="008E738B" w:rsidRDefault="008E738B" w:rsidP="001B01C1">
      <w:pPr>
        <w:widowControl w:val="0"/>
        <w:tabs>
          <w:tab w:val="left" w:pos="1418"/>
        </w:tabs>
        <w:autoSpaceDE w:val="0"/>
        <w:autoSpaceDN w:val="0"/>
        <w:adjustRightInd w:val="0"/>
        <w:spacing w:after="0"/>
        <w:ind w:right="68"/>
        <w:rPr>
          <w:rFonts w:cs="Calibri Light"/>
          <w:lang w:val="el-GR"/>
        </w:rPr>
      </w:pPr>
      <w:r w:rsidRPr="00693063">
        <w:rPr>
          <w:rFonts w:cs="Calibri Light"/>
          <w:lang w:val="el-GR"/>
        </w:rPr>
        <w:t>Τα</w:t>
      </w:r>
      <w:r w:rsidRPr="00693063">
        <w:rPr>
          <w:rFonts w:cs="Calibri Light"/>
          <w:spacing w:val="11"/>
          <w:lang w:val="el-GR"/>
        </w:rPr>
        <w:t xml:space="preserve"> </w:t>
      </w:r>
      <w:r w:rsidRPr="00693063">
        <w:rPr>
          <w:rFonts w:cs="Calibri Light"/>
          <w:lang w:val="el-GR"/>
        </w:rPr>
        <w:t>συμπεράσματα δί</w:t>
      </w:r>
      <w:r w:rsidRPr="00693063">
        <w:rPr>
          <w:rFonts w:cs="Calibri Light"/>
          <w:spacing w:val="1"/>
          <w:lang w:val="el-GR"/>
        </w:rPr>
        <w:t>δ</w:t>
      </w:r>
      <w:r w:rsidRPr="00693063">
        <w:rPr>
          <w:rFonts w:cs="Calibri Light"/>
          <w:lang w:val="el-GR"/>
        </w:rPr>
        <w:t>ουν</w:t>
      </w:r>
      <w:r w:rsidRPr="00693063">
        <w:rPr>
          <w:rFonts w:cs="Calibri Light"/>
          <w:spacing w:val="8"/>
          <w:lang w:val="el-GR"/>
        </w:rPr>
        <w:t xml:space="preserve"> </w:t>
      </w:r>
      <w:r w:rsidRPr="00693063">
        <w:rPr>
          <w:rFonts w:cs="Calibri Light"/>
          <w:lang w:val="el-GR"/>
        </w:rPr>
        <w:t>μία</w:t>
      </w:r>
      <w:r w:rsidRPr="00693063">
        <w:rPr>
          <w:rFonts w:cs="Calibri Light"/>
          <w:spacing w:val="11"/>
          <w:lang w:val="el-GR"/>
        </w:rPr>
        <w:t xml:space="preserve"> </w:t>
      </w:r>
      <w:r w:rsidRPr="00693063">
        <w:rPr>
          <w:rFonts w:cs="Calibri Light"/>
          <w:lang w:val="el-GR"/>
        </w:rPr>
        <w:t>σύντομη</w:t>
      </w:r>
      <w:r w:rsidRPr="00693063">
        <w:rPr>
          <w:rFonts w:cs="Calibri Light"/>
          <w:spacing w:val="8"/>
          <w:lang w:val="el-GR"/>
        </w:rPr>
        <w:t xml:space="preserve"> </w:t>
      </w:r>
      <w:r w:rsidRPr="00693063">
        <w:rPr>
          <w:rFonts w:cs="Calibri Light"/>
          <w:lang w:val="el-GR"/>
        </w:rPr>
        <w:t>περίληψη</w:t>
      </w:r>
      <w:r w:rsidRPr="00693063">
        <w:rPr>
          <w:rFonts w:cs="Calibri Light"/>
          <w:spacing w:val="6"/>
          <w:lang w:val="el-GR"/>
        </w:rPr>
        <w:t xml:space="preserve"> </w:t>
      </w:r>
      <w:r w:rsidRPr="00693063">
        <w:rPr>
          <w:rFonts w:cs="Calibri Light"/>
          <w:lang w:val="el-GR"/>
        </w:rPr>
        <w:t>τ</w:t>
      </w:r>
      <w:r w:rsidRPr="00693063">
        <w:rPr>
          <w:rFonts w:cs="Calibri Light"/>
          <w:spacing w:val="1"/>
          <w:lang w:val="el-GR"/>
        </w:rPr>
        <w:t>ο</w:t>
      </w:r>
      <w:r w:rsidRPr="00693063">
        <w:rPr>
          <w:rFonts w:cs="Calibri Light"/>
          <w:lang w:val="el-GR"/>
        </w:rPr>
        <w:t>υ</w:t>
      </w:r>
      <w:r w:rsidRPr="00693063">
        <w:rPr>
          <w:rFonts w:cs="Calibri Light"/>
          <w:spacing w:val="12"/>
          <w:lang w:val="el-GR"/>
        </w:rPr>
        <w:t xml:space="preserve"> </w:t>
      </w:r>
      <w:r w:rsidRPr="00693063">
        <w:rPr>
          <w:rFonts w:cs="Calibri Light"/>
          <w:lang w:val="el-GR"/>
        </w:rPr>
        <w:t>τι</w:t>
      </w:r>
      <w:r w:rsidRPr="00693063">
        <w:rPr>
          <w:rFonts w:cs="Calibri Light"/>
          <w:spacing w:val="13"/>
          <w:lang w:val="el-GR"/>
        </w:rPr>
        <w:t xml:space="preserve"> </w:t>
      </w:r>
      <w:r w:rsidRPr="00693063">
        <w:rPr>
          <w:rFonts w:cs="Calibri Light"/>
          <w:spacing w:val="2"/>
          <w:lang w:val="el-GR"/>
        </w:rPr>
        <w:t>έ</w:t>
      </w:r>
      <w:r w:rsidRPr="00693063">
        <w:rPr>
          <w:rFonts w:cs="Calibri Light"/>
          <w:spacing w:val="1"/>
          <w:lang w:val="el-GR"/>
        </w:rPr>
        <w:t>γ</w:t>
      </w:r>
      <w:r w:rsidRPr="00693063">
        <w:rPr>
          <w:rFonts w:cs="Calibri Light"/>
          <w:lang w:val="el-GR"/>
        </w:rPr>
        <w:t>ι</w:t>
      </w:r>
      <w:r w:rsidRPr="00693063">
        <w:rPr>
          <w:rFonts w:cs="Calibri Light"/>
          <w:spacing w:val="-1"/>
          <w:lang w:val="el-GR"/>
        </w:rPr>
        <w:t>ν</w:t>
      </w:r>
      <w:r w:rsidRPr="00693063">
        <w:rPr>
          <w:rFonts w:cs="Calibri Light"/>
          <w:lang w:val="el-GR"/>
        </w:rPr>
        <w:t>ε</w:t>
      </w:r>
      <w:r w:rsidRPr="00693063">
        <w:rPr>
          <w:rFonts w:cs="Calibri Light"/>
          <w:spacing w:val="10"/>
          <w:lang w:val="el-GR"/>
        </w:rPr>
        <w:t xml:space="preserve"> </w:t>
      </w:r>
      <w:r w:rsidRPr="00693063">
        <w:rPr>
          <w:rFonts w:cs="Calibri Light"/>
          <w:lang w:val="el-GR"/>
        </w:rPr>
        <w:t>στην</w:t>
      </w:r>
      <w:r w:rsidRPr="00693063">
        <w:rPr>
          <w:rFonts w:cs="Calibri Light"/>
          <w:spacing w:val="9"/>
          <w:lang w:val="el-GR"/>
        </w:rPr>
        <w:t xml:space="preserve"> </w:t>
      </w:r>
      <w:r w:rsidRPr="00693063">
        <w:rPr>
          <w:rFonts w:cs="Calibri Light"/>
          <w:lang w:val="el-GR"/>
        </w:rPr>
        <w:t>εργασία</w:t>
      </w:r>
      <w:r w:rsidRPr="00693063">
        <w:rPr>
          <w:rFonts w:cs="Calibri Light"/>
          <w:spacing w:val="6"/>
          <w:lang w:val="el-GR"/>
        </w:rPr>
        <w:t xml:space="preserve"> </w:t>
      </w:r>
      <w:r w:rsidRPr="00693063">
        <w:rPr>
          <w:rFonts w:cs="Calibri Light"/>
          <w:lang w:val="el-GR"/>
        </w:rPr>
        <w:t>(μία</w:t>
      </w:r>
      <w:r w:rsidRPr="00693063">
        <w:rPr>
          <w:rFonts w:cs="Calibri Light"/>
          <w:spacing w:val="10"/>
          <w:lang w:val="el-GR"/>
        </w:rPr>
        <w:t xml:space="preserve"> </w:t>
      </w:r>
      <w:r w:rsidRPr="00693063">
        <w:rPr>
          <w:rFonts w:cs="Calibri Light"/>
          <w:spacing w:val="-1"/>
          <w:lang w:val="el-GR"/>
        </w:rPr>
        <w:t>μ</w:t>
      </w:r>
      <w:r w:rsidRPr="00693063">
        <w:rPr>
          <w:rFonts w:cs="Calibri Light"/>
          <w:lang w:val="el-GR"/>
        </w:rPr>
        <w:t>ε</w:t>
      </w:r>
      <w:r w:rsidRPr="00693063">
        <w:rPr>
          <w:rFonts w:cs="Calibri Light"/>
          <w:spacing w:val="12"/>
          <w:lang w:val="el-GR"/>
        </w:rPr>
        <w:t xml:space="preserve"> </w:t>
      </w:r>
      <w:r w:rsidRPr="00693063">
        <w:rPr>
          <w:rFonts w:cs="Calibri Light"/>
          <w:spacing w:val="1"/>
          <w:lang w:val="el-GR"/>
        </w:rPr>
        <w:t xml:space="preserve">δύο </w:t>
      </w:r>
      <w:r w:rsidRPr="00693063">
        <w:rPr>
          <w:rFonts w:cs="Calibri Light"/>
          <w:lang w:val="el-GR"/>
        </w:rPr>
        <w:t>προτάσεις).</w:t>
      </w:r>
      <w:r w:rsidRPr="00693063">
        <w:rPr>
          <w:rFonts w:cs="Calibri Light"/>
          <w:spacing w:val="4"/>
          <w:lang w:val="el-GR"/>
        </w:rPr>
        <w:t xml:space="preserve"> </w:t>
      </w:r>
      <w:r w:rsidRPr="00693063">
        <w:rPr>
          <w:rFonts w:cs="Calibri Light"/>
          <w:lang w:val="el-GR"/>
        </w:rPr>
        <w:t>Επίσης,</w:t>
      </w:r>
      <w:r w:rsidRPr="00693063">
        <w:rPr>
          <w:rFonts w:cs="Calibri Light"/>
          <w:spacing w:val="8"/>
          <w:lang w:val="el-GR"/>
        </w:rPr>
        <w:t xml:space="preserve"> </w:t>
      </w:r>
      <w:r w:rsidRPr="00693063">
        <w:rPr>
          <w:rFonts w:cs="Calibri Light"/>
          <w:spacing w:val="1"/>
          <w:lang w:val="el-GR"/>
        </w:rPr>
        <w:t>δί</w:t>
      </w:r>
      <w:r w:rsidRPr="00693063">
        <w:rPr>
          <w:rFonts w:cs="Calibri Light"/>
          <w:lang w:val="el-GR"/>
        </w:rPr>
        <w:t>δουν</w:t>
      </w:r>
      <w:r w:rsidRPr="00693063">
        <w:rPr>
          <w:rFonts w:cs="Calibri Light"/>
          <w:spacing w:val="8"/>
          <w:lang w:val="el-GR"/>
        </w:rPr>
        <w:t xml:space="preserve"> </w:t>
      </w:r>
      <w:r w:rsidRPr="00693063">
        <w:rPr>
          <w:rFonts w:cs="Calibri Light"/>
          <w:lang w:val="el-GR"/>
        </w:rPr>
        <w:t>τα</w:t>
      </w:r>
      <w:r w:rsidRPr="00693063">
        <w:rPr>
          <w:rFonts w:cs="Calibri Light"/>
          <w:spacing w:val="13"/>
          <w:lang w:val="el-GR"/>
        </w:rPr>
        <w:t xml:space="preserve"> </w:t>
      </w:r>
      <w:r w:rsidRPr="00693063">
        <w:rPr>
          <w:rFonts w:cs="Calibri Light"/>
          <w:spacing w:val="2"/>
          <w:lang w:val="el-GR"/>
        </w:rPr>
        <w:t>κ</w:t>
      </w:r>
      <w:r w:rsidRPr="00693063">
        <w:rPr>
          <w:rFonts w:cs="Calibri Light"/>
          <w:lang w:val="el-GR"/>
        </w:rPr>
        <w:t>ύρια</w:t>
      </w:r>
      <w:r w:rsidRPr="00693063">
        <w:rPr>
          <w:rFonts w:cs="Calibri Light"/>
          <w:spacing w:val="9"/>
          <w:lang w:val="el-GR"/>
        </w:rPr>
        <w:t xml:space="preserve"> </w:t>
      </w:r>
      <w:r w:rsidRPr="00693063">
        <w:rPr>
          <w:rFonts w:cs="Calibri Light"/>
          <w:lang w:val="el-GR"/>
        </w:rPr>
        <w:t>αποτελέσματα τ</w:t>
      </w:r>
      <w:r w:rsidRPr="00693063">
        <w:rPr>
          <w:rFonts w:cs="Calibri Light"/>
          <w:spacing w:val="1"/>
          <w:lang w:val="el-GR"/>
        </w:rPr>
        <w:t>η</w:t>
      </w:r>
      <w:r w:rsidRPr="00693063">
        <w:rPr>
          <w:rFonts w:cs="Calibri Light"/>
          <w:lang w:val="el-GR"/>
        </w:rPr>
        <w:t>ς</w:t>
      </w:r>
      <w:r w:rsidRPr="00693063">
        <w:rPr>
          <w:rFonts w:cs="Calibri Light"/>
          <w:spacing w:val="12"/>
          <w:lang w:val="el-GR"/>
        </w:rPr>
        <w:t xml:space="preserve"> </w:t>
      </w:r>
      <w:r w:rsidRPr="00693063">
        <w:rPr>
          <w:rFonts w:cs="Calibri Light"/>
          <w:lang w:val="el-GR"/>
        </w:rPr>
        <w:t>εργασίας</w:t>
      </w:r>
      <w:r w:rsidRPr="00693063">
        <w:rPr>
          <w:rFonts w:cs="Calibri Light"/>
          <w:spacing w:val="6"/>
          <w:lang w:val="el-GR"/>
        </w:rPr>
        <w:t xml:space="preserve"> </w:t>
      </w:r>
      <w:r w:rsidRPr="00693063">
        <w:rPr>
          <w:rFonts w:cs="Calibri Light"/>
          <w:lang w:val="el-GR"/>
        </w:rPr>
        <w:t>(αυτά</w:t>
      </w:r>
      <w:r w:rsidRPr="00693063">
        <w:rPr>
          <w:rFonts w:cs="Calibri Light"/>
          <w:spacing w:val="10"/>
          <w:lang w:val="el-GR"/>
        </w:rPr>
        <w:t xml:space="preserve"> </w:t>
      </w:r>
      <w:r w:rsidRPr="00693063">
        <w:rPr>
          <w:rFonts w:cs="Calibri Light"/>
          <w:lang w:val="el-GR"/>
        </w:rPr>
        <w:t>πρ</w:t>
      </w:r>
      <w:r w:rsidRPr="00693063">
        <w:rPr>
          <w:rFonts w:cs="Calibri Light"/>
          <w:spacing w:val="2"/>
          <w:lang w:val="el-GR"/>
        </w:rPr>
        <w:t>έ</w:t>
      </w:r>
      <w:r w:rsidRPr="00693063">
        <w:rPr>
          <w:rFonts w:cs="Calibri Light"/>
          <w:lang w:val="el-GR"/>
        </w:rPr>
        <w:t>πει</w:t>
      </w:r>
      <w:r w:rsidRPr="00693063">
        <w:rPr>
          <w:rFonts w:cs="Calibri Light"/>
          <w:spacing w:val="7"/>
          <w:lang w:val="el-GR"/>
        </w:rPr>
        <w:t xml:space="preserve"> </w:t>
      </w:r>
      <w:r w:rsidRPr="00693063">
        <w:rPr>
          <w:rFonts w:cs="Calibri Light"/>
          <w:spacing w:val="-1"/>
          <w:lang w:val="el-GR"/>
        </w:rPr>
        <w:t xml:space="preserve">να </w:t>
      </w:r>
      <w:r w:rsidRPr="00693063">
        <w:rPr>
          <w:rFonts w:cs="Calibri Light"/>
          <w:lang w:val="el-GR"/>
        </w:rPr>
        <w:t>εξάγονται</w:t>
      </w:r>
      <w:r w:rsidRPr="00693063">
        <w:rPr>
          <w:rFonts w:cs="Calibri Light"/>
          <w:spacing w:val="-8"/>
          <w:lang w:val="el-GR"/>
        </w:rPr>
        <w:t xml:space="preserve"> </w:t>
      </w:r>
      <w:r w:rsidRPr="00693063">
        <w:rPr>
          <w:rFonts w:cs="Calibri Light"/>
          <w:lang w:val="el-GR"/>
        </w:rPr>
        <w:lastRenderedPageBreak/>
        <w:t>από</w:t>
      </w:r>
      <w:r w:rsidRPr="00693063">
        <w:rPr>
          <w:rFonts w:cs="Calibri Light"/>
          <w:spacing w:val="-4"/>
          <w:lang w:val="el-GR"/>
        </w:rPr>
        <w:t xml:space="preserve"> </w:t>
      </w:r>
      <w:r w:rsidRPr="00693063">
        <w:rPr>
          <w:rFonts w:cs="Calibri Light"/>
          <w:lang w:val="el-GR"/>
        </w:rPr>
        <w:t>το</w:t>
      </w:r>
      <w:r w:rsidRPr="00693063">
        <w:rPr>
          <w:rFonts w:cs="Calibri Light"/>
          <w:spacing w:val="-2"/>
          <w:lang w:val="el-GR"/>
        </w:rPr>
        <w:t xml:space="preserve"> </w:t>
      </w:r>
      <w:r w:rsidRPr="00693063">
        <w:rPr>
          <w:rFonts w:cs="Calibri Light"/>
          <w:spacing w:val="1"/>
          <w:lang w:val="el-GR"/>
        </w:rPr>
        <w:t>κεί</w:t>
      </w:r>
      <w:r w:rsidRPr="00693063">
        <w:rPr>
          <w:rFonts w:cs="Calibri Light"/>
          <w:spacing w:val="-1"/>
          <w:lang w:val="el-GR"/>
        </w:rPr>
        <w:t>μ</w:t>
      </w:r>
      <w:r w:rsidRPr="00693063">
        <w:rPr>
          <w:rFonts w:cs="Calibri Light"/>
          <w:spacing w:val="1"/>
          <w:lang w:val="el-GR"/>
        </w:rPr>
        <w:t>εν</w:t>
      </w:r>
      <w:r w:rsidRPr="00693063">
        <w:rPr>
          <w:rFonts w:cs="Calibri Light"/>
          <w:lang w:val="el-GR"/>
        </w:rPr>
        <w:t>ο</w:t>
      </w:r>
      <w:r w:rsidRPr="00693063">
        <w:rPr>
          <w:rFonts w:cs="Calibri Light"/>
          <w:spacing w:val="-6"/>
          <w:lang w:val="el-GR"/>
        </w:rPr>
        <w:t xml:space="preserve"> </w:t>
      </w:r>
      <w:r w:rsidRPr="00693063">
        <w:rPr>
          <w:rFonts w:cs="Calibri Light"/>
          <w:lang w:val="el-GR"/>
        </w:rPr>
        <w:t>και</w:t>
      </w:r>
      <w:r w:rsidRPr="00693063">
        <w:rPr>
          <w:rFonts w:cs="Calibri Light"/>
          <w:spacing w:val="-2"/>
          <w:lang w:val="el-GR"/>
        </w:rPr>
        <w:t xml:space="preserve"> </w:t>
      </w:r>
      <w:r w:rsidRPr="00693063">
        <w:rPr>
          <w:rFonts w:cs="Calibri Light"/>
          <w:spacing w:val="-1"/>
          <w:lang w:val="el-GR"/>
        </w:rPr>
        <w:t>ν</w:t>
      </w:r>
      <w:r w:rsidRPr="00693063">
        <w:rPr>
          <w:rFonts w:cs="Calibri Light"/>
          <w:lang w:val="el-GR"/>
        </w:rPr>
        <w:t>α</w:t>
      </w:r>
      <w:r w:rsidRPr="00693063">
        <w:rPr>
          <w:rFonts w:cs="Calibri Light"/>
          <w:spacing w:val="-2"/>
          <w:lang w:val="el-GR"/>
        </w:rPr>
        <w:t xml:space="preserve"> </w:t>
      </w:r>
      <w:r w:rsidRPr="00693063">
        <w:rPr>
          <w:rFonts w:cs="Calibri Light"/>
          <w:lang w:val="el-GR"/>
        </w:rPr>
        <w:t>μην</w:t>
      </w:r>
      <w:r w:rsidRPr="00693063">
        <w:rPr>
          <w:rFonts w:cs="Calibri Light"/>
          <w:spacing w:val="-3"/>
          <w:lang w:val="el-GR"/>
        </w:rPr>
        <w:t xml:space="preserve"> </w:t>
      </w:r>
      <w:r w:rsidRPr="00693063">
        <w:rPr>
          <w:rFonts w:cs="Calibri Light"/>
          <w:lang w:val="el-GR"/>
        </w:rPr>
        <w:t>είναι</w:t>
      </w:r>
      <w:r w:rsidRPr="00693063">
        <w:rPr>
          <w:rFonts w:cs="Calibri Light"/>
          <w:spacing w:val="-3"/>
          <w:lang w:val="el-GR"/>
        </w:rPr>
        <w:t xml:space="preserve"> </w:t>
      </w:r>
      <w:r w:rsidRPr="00693063">
        <w:rPr>
          <w:rFonts w:cs="Calibri Light"/>
          <w:lang w:val="el-GR"/>
        </w:rPr>
        <w:t>αυθαίρετα).</w:t>
      </w:r>
    </w:p>
    <w:p w:rsidR="001B01C1" w:rsidRPr="00693063" w:rsidRDefault="001B01C1" w:rsidP="001B01C1">
      <w:pPr>
        <w:widowControl w:val="0"/>
        <w:tabs>
          <w:tab w:val="left" w:pos="1418"/>
        </w:tabs>
        <w:autoSpaceDE w:val="0"/>
        <w:autoSpaceDN w:val="0"/>
        <w:adjustRightInd w:val="0"/>
        <w:spacing w:after="0"/>
        <w:ind w:right="68"/>
        <w:rPr>
          <w:rFonts w:cs="Calibri Light"/>
          <w:lang w:val="el-GR"/>
        </w:rPr>
      </w:pPr>
    </w:p>
    <w:p w:rsidR="008E738B" w:rsidRPr="003C5364" w:rsidRDefault="008E738B" w:rsidP="001B01C1">
      <w:pPr>
        <w:widowControl w:val="0"/>
        <w:tabs>
          <w:tab w:val="left" w:pos="1418"/>
        </w:tabs>
        <w:autoSpaceDE w:val="0"/>
        <w:autoSpaceDN w:val="0"/>
        <w:adjustRightInd w:val="0"/>
        <w:spacing w:after="0" w:line="240" w:lineRule="auto"/>
        <w:ind w:right="5054"/>
        <w:rPr>
          <w:rFonts w:cs="Calibri Light"/>
          <w:b/>
          <w:bCs/>
          <w:sz w:val="32"/>
          <w:szCs w:val="32"/>
          <w:lang w:val="el-GR"/>
        </w:rPr>
      </w:pPr>
      <w:r w:rsidRPr="003C00E2">
        <w:rPr>
          <w:rStyle w:val="Heading1Char"/>
          <w:lang w:val="el-GR"/>
        </w:rPr>
        <w:t>Βιβλιογραφία</w:t>
      </w:r>
      <w:r w:rsidRPr="00693063">
        <w:rPr>
          <w:rFonts w:cs="Calibri Light"/>
          <w:b/>
          <w:bCs/>
          <w:sz w:val="32"/>
          <w:szCs w:val="32"/>
          <w:lang w:val="el-GR"/>
        </w:rPr>
        <w:t xml:space="preserve"> </w:t>
      </w:r>
    </w:p>
    <w:p w:rsidR="00646998" w:rsidRDefault="007F0D0E" w:rsidP="0024682D">
      <w:pPr>
        <w:rPr>
          <w:lang w:val="el-GR"/>
        </w:rPr>
      </w:pPr>
      <w:r>
        <w:rPr>
          <w:lang w:val="el-GR"/>
        </w:rPr>
        <w:t>Η βιβλιογραφία</w:t>
      </w:r>
      <w:r w:rsidR="00646998">
        <w:rPr>
          <w:lang w:val="el-GR"/>
        </w:rPr>
        <w:t xml:space="preserve"> τοποθετ</w:t>
      </w:r>
      <w:r>
        <w:rPr>
          <w:lang w:val="el-GR"/>
        </w:rPr>
        <w:t>είται</w:t>
      </w:r>
      <w:r w:rsidR="00646998">
        <w:rPr>
          <w:lang w:val="el-GR"/>
        </w:rPr>
        <w:t xml:space="preserve"> χρησιμοποιώντας το κατάλληλο εργαλείο του «</w:t>
      </w:r>
      <w:proofErr w:type="spellStart"/>
      <w:r>
        <w:t>Mendeley</w:t>
      </w:r>
      <w:proofErr w:type="spellEnd"/>
      <w:r w:rsidR="00646998">
        <w:rPr>
          <w:lang w:val="el-GR"/>
        </w:rPr>
        <w:t>»</w:t>
      </w:r>
      <w:r w:rsidR="004A6F42">
        <w:rPr>
          <w:lang w:val="el-GR"/>
        </w:rPr>
        <w:t xml:space="preserve"> που βρίσκεται στο μενού του «</w:t>
      </w:r>
      <w:r w:rsidR="004A6F42">
        <w:t>word</w:t>
      </w:r>
      <w:r w:rsidR="004A6F42">
        <w:rPr>
          <w:lang w:val="el-GR"/>
        </w:rPr>
        <w:t xml:space="preserve">»: </w:t>
      </w:r>
      <w:r w:rsidR="00646998">
        <w:rPr>
          <w:lang w:val="el-GR"/>
        </w:rPr>
        <w:t xml:space="preserve">«Αναφορές → </w:t>
      </w:r>
      <w:r>
        <w:t>Insert</w:t>
      </w:r>
      <w:r w:rsidRPr="004A6F42">
        <w:rPr>
          <w:lang w:val="el-GR"/>
        </w:rPr>
        <w:t xml:space="preserve"> </w:t>
      </w:r>
      <w:r>
        <w:t>Bibliography</w:t>
      </w:r>
      <w:r w:rsidR="00646998">
        <w:rPr>
          <w:lang w:val="el-GR"/>
        </w:rPr>
        <w:t>»</w:t>
      </w:r>
    </w:p>
    <w:p w:rsidR="00D54D8C" w:rsidRPr="00D54D8C" w:rsidRDefault="00D54D8C" w:rsidP="00D54D8C">
      <w:pPr>
        <w:widowControl w:val="0"/>
        <w:autoSpaceDE w:val="0"/>
        <w:autoSpaceDN w:val="0"/>
        <w:adjustRightInd w:val="0"/>
        <w:spacing w:after="0" w:line="240" w:lineRule="exact"/>
        <w:ind w:left="640" w:hanging="640"/>
        <w:rPr>
          <w:rFonts w:cs="Calibri Light"/>
          <w:noProof/>
          <w:szCs w:val="24"/>
        </w:rPr>
      </w:pPr>
      <w:r>
        <w:rPr>
          <w:rFonts w:cs="Calibri Light"/>
          <w:szCs w:val="24"/>
          <w:lang w:val="el-GR"/>
        </w:rPr>
        <w:fldChar w:fldCharType="begin" w:fldLock="1"/>
      </w:r>
      <w:r w:rsidRPr="00D54D8C">
        <w:rPr>
          <w:rFonts w:cs="Calibri Light"/>
          <w:szCs w:val="24"/>
          <w:lang w:val="en-US"/>
        </w:rPr>
        <w:instrText xml:space="preserve">ADDIN Mendeley Bibliography CSL_BIBLIOGRAPHY </w:instrText>
      </w:r>
      <w:r>
        <w:rPr>
          <w:rFonts w:cs="Calibri Light"/>
          <w:szCs w:val="24"/>
          <w:lang w:val="el-GR"/>
        </w:rPr>
        <w:fldChar w:fldCharType="separate"/>
      </w:r>
      <w:r w:rsidRPr="00D54D8C">
        <w:rPr>
          <w:rFonts w:cs="Calibri Light"/>
          <w:noProof/>
          <w:szCs w:val="24"/>
        </w:rPr>
        <w:t>[1]</w:t>
      </w:r>
      <w:r w:rsidRPr="00D54D8C">
        <w:rPr>
          <w:rFonts w:cs="Calibri Light"/>
          <w:noProof/>
          <w:szCs w:val="24"/>
        </w:rPr>
        <w:tab/>
        <w:t xml:space="preserve">S. Papaefthimiou, A. Maragkogianni, and K. Andriosopoulos, “Evaluation of cruise ships emissions in the Mediterranean basin: The case of Greek ports,” </w:t>
      </w:r>
      <w:r w:rsidRPr="00D54D8C">
        <w:rPr>
          <w:rFonts w:cs="Calibri Light"/>
          <w:i/>
          <w:iCs/>
          <w:noProof/>
          <w:szCs w:val="24"/>
        </w:rPr>
        <w:t>Int. J. Sustain. Transp.</w:t>
      </w:r>
      <w:r w:rsidRPr="00D54D8C">
        <w:rPr>
          <w:rFonts w:cs="Calibri Light"/>
          <w:noProof/>
          <w:szCs w:val="24"/>
        </w:rPr>
        <w:t>, vol. 10, no. 10, pp. 985–994, 2016.</w:t>
      </w:r>
    </w:p>
    <w:p w:rsidR="00D54D8C" w:rsidRPr="00D54D8C" w:rsidRDefault="00D54D8C" w:rsidP="00D54D8C">
      <w:pPr>
        <w:widowControl w:val="0"/>
        <w:autoSpaceDE w:val="0"/>
        <w:autoSpaceDN w:val="0"/>
        <w:adjustRightInd w:val="0"/>
        <w:spacing w:after="0" w:line="240" w:lineRule="exact"/>
        <w:ind w:left="640" w:hanging="640"/>
        <w:rPr>
          <w:rFonts w:cs="Calibri Light"/>
          <w:noProof/>
          <w:szCs w:val="24"/>
        </w:rPr>
      </w:pPr>
      <w:r w:rsidRPr="00D54D8C">
        <w:rPr>
          <w:rFonts w:cs="Calibri Light"/>
          <w:noProof/>
          <w:szCs w:val="24"/>
        </w:rPr>
        <w:t>[2]</w:t>
      </w:r>
      <w:r w:rsidRPr="00D54D8C">
        <w:rPr>
          <w:rFonts w:cs="Calibri Light"/>
          <w:noProof/>
          <w:szCs w:val="24"/>
        </w:rPr>
        <w:tab/>
        <w:t xml:space="preserve">A. Maragkogianni, S. Papaefthimiou, and C. Zopounidis, “Emissions trading schemes in the transportation sector,” in </w:t>
      </w:r>
      <w:r w:rsidRPr="00D54D8C">
        <w:rPr>
          <w:rFonts w:cs="Calibri Light"/>
          <w:i/>
          <w:iCs/>
          <w:noProof/>
          <w:szCs w:val="24"/>
        </w:rPr>
        <w:t>Sustainable technologies, policies and Constrains in the Green Economy</w:t>
      </w:r>
      <w:r w:rsidRPr="00D54D8C">
        <w:rPr>
          <w:rFonts w:cs="Calibri Light"/>
          <w:noProof/>
          <w:szCs w:val="24"/>
        </w:rPr>
        <w:t>, vol. 1, 2013, p. 21.</w:t>
      </w:r>
    </w:p>
    <w:p w:rsidR="00D54D8C" w:rsidRPr="00D54D8C" w:rsidRDefault="00D54D8C" w:rsidP="00D54D8C">
      <w:pPr>
        <w:widowControl w:val="0"/>
        <w:autoSpaceDE w:val="0"/>
        <w:autoSpaceDN w:val="0"/>
        <w:adjustRightInd w:val="0"/>
        <w:spacing w:after="0" w:line="240" w:lineRule="exact"/>
        <w:ind w:left="640" w:hanging="640"/>
        <w:rPr>
          <w:rFonts w:cs="Calibri Light"/>
          <w:noProof/>
        </w:rPr>
      </w:pPr>
      <w:r w:rsidRPr="00D54D8C">
        <w:rPr>
          <w:rFonts w:cs="Calibri Light"/>
          <w:noProof/>
          <w:szCs w:val="24"/>
        </w:rPr>
        <w:t>[3]</w:t>
      </w:r>
      <w:r w:rsidRPr="00D54D8C">
        <w:rPr>
          <w:rFonts w:cs="Calibri Light"/>
          <w:noProof/>
          <w:szCs w:val="24"/>
        </w:rPr>
        <w:tab/>
        <w:t xml:space="preserve">E. Doundoulakis and S. Papaefthimiou, </w:t>
      </w:r>
      <w:r w:rsidRPr="00D54D8C">
        <w:rPr>
          <w:rFonts w:cs="Calibri Light"/>
          <w:i/>
          <w:iCs/>
          <w:noProof/>
          <w:szCs w:val="24"/>
        </w:rPr>
        <w:t>Ancillary Benefits of Climate Policies in the Shipping Sector</w:t>
      </w:r>
      <w:r w:rsidRPr="00D54D8C">
        <w:rPr>
          <w:rFonts w:cs="Calibri Light"/>
          <w:noProof/>
          <w:szCs w:val="24"/>
        </w:rPr>
        <w:t>. 2020.</w:t>
      </w:r>
    </w:p>
    <w:p w:rsidR="008E738B" w:rsidRPr="00D54D8C" w:rsidRDefault="00D54D8C" w:rsidP="001B01C1">
      <w:pPr>
        <w:widowControl w:val="0"/>
        <w:tabs>
          <w:tab w:val="left" w:pos="1418"/>
        </w:tabs>
        <w:autoSpaceDE w:val="0"/>
        <w:autoSpaceDN w:val="0"/>
        <w:adjustRightInd w:val="0"/>
        <w:spacing w:before="7" w:after="0" w:line="240" w:lineRule="exact"/>
        <w:rPr>
          <w:rFonts w:cs="Calibri Light"/>
          <w:szCs w:val="24"/>
          <w:lang w:val="en-US"/>
        </w:rPr>
      </w:pPr>
      <w:r>
        <w:rPr>
          <w:rFonts w:cs="Calibri Light"/>
          <w:szCs w:val="24"/>
          <w:lang w:val="el-GR"/>
        </w:rPr>
        <w:fldChar w:fldCharType="end"/>
      </w:r>
    </w:p>
    <w:p w:rsidR="008E738B" w:rsidRPr="00D54D8C" w:rsidRDefault="008E738B" w:rsidP="00D54D8C">
      <w:pPr>
        <w:pStyle w:val="Heading1"/>
      </w:pPr>
      <w:r w:rsidRPr="00D54D8C">
        <w:rPr>
          <w:rStyle w:val="Heading1Char"/>
          <w:b/>
          <w:bCs/>
        </w:rPr>
        <w:t>Πα</w:t>
      </w:r>
      <w:proofErr w:type="spellStart"/>
      <w:r w:rsidRPr="00D54D8C">
        <w:rPr>
          <w:rStyle w:val="Heading1Char"/>
          <w:b/>
          <w:bCs/>
        </w:rPr>
        <w:t>ράρτημ</w:t>
      </w:r>
      <w:proofErr w:type="spellEnd"/>
      <w:r w:rsidRPr="00D54D8C">
        <w:rPr>
          <w:rStyle w:val="Heading1Char"/>
          <w:b/>
          <w:bCs/>
        </w:rPr>
        <w:t>α</w:t>
      </w:r>
    </w:p>
    <w:p w:rsidR="008E738B" w:rsidRPr="00693063" w:rsidRDefault="008E738B" w:rsidP="00D54D8C">
      <w:pPr>
        <w:rPr>
          <w:lang w:val="el-GR"/>
        </w:rPr>
      </w:pPr>
      <w:r w:rsidRPr="00693063">
        <w:rPr>
          <w:lang w:val="el-GR"/>
        </w:rPr>
        <w:t>Παρουσιάζεται</w:t>
      </w:r>
      <w:r w:rsidRPr="00693063">
        <w:rPr>
          <w:spacing w:val="-6"/>
          <w:lang w:val="el-GR"/>
        </w:rPr>
        <w:t xml:space="preserve"> </w:t>
      </w:r>
      <w:r w:rsidRPr="00693063">
        <w:rPr>
          <w:lang w:val="el-GR"/>
        </w:rPr>
        <w:t>μετά</w:t>
      </w:r>
      <w:r w:rsidRPr="00693063">
        <w:rPr>
          <w:spacing w:val="5"/>
          <w:lang w:val="el-GR"/>
        </w:rPr>
        <w:t xml:space="preserve"> </w:t>
      </w:r>
      <w:r w:rsidRPr="00693063">
        <w:rPr>
          <w:lang w:val="el-GR"/>
        </w:rPr>
        <w:t>τ</w:t>
      </w:r>
      <w:r w:rsidRPr="00693063">
        <w:rPr>
          <w:spacing w:val="1"/>
          <w:lang w:val="el-GR"/>
        </w:rPr>
        <w:t>η</w:t>
      </w:r>
      <w:r w:rsidRPr="00693063">
        <w:rPr>
          <w:lang w:val="el-GR"/>
        </w:rPr>
        <w:t>ν</w:t>
      </w:r>
      <w:r w:rsidRPr="00693063">
        <w:rPr>
          <w:spacing w:val="5"/>
          <w:lang w:val="el-GR"/>
        </w:rPr>
        <w:t xml:space="preserve"> </w:t>
      </w:r>
      <w:r w:rsidRPr="00693063">
        <w:rPr>
          <w:lang w:val="el-GR"/>
        </w:rPr>
        <w:t>βιβλιογραφία</w:t>
      </w:r>
      <w:r w:rsidRPr="00693063">
        <w:rPr>
          <w:spacing w:val="-5"/>
          <w:lang w:val="el-GR"/>
        </w:rPr>
        <w:t xml:space="preserve"> </w:t>
      </w:r>
      <w:r w:rsidRPr="00693063">
        <w:rPr>
          <w:lang w:val="el-GR"/>
        </w:rPr>
        <w:t>και</w:t>
      </w:r>
      <w:r w:rsidRPr="00693063">
        <w:rPr>
          <w:spacing w:val="5"/>
          <w:lang w:val="el-GR"/>
        </w:rPr>
        <w:t xml:space="preserve"> </w:t>
      </w:r>
      <w:r w:rsidRPr="00693063">
        <w:rPr>
          <w:lang w:val="el-GR"/>
        </w:rPr>
        <w:t>πρέπει</w:t>
      </w:r>
      <w:r w:rsidRPr="00693063">
        <w:rPr>
          <w:spacing w:val="2"/>
          <w:lang w:val="el-GR"/>
        </w:rPr>
        <w:t xml:space="preserve"> </w:t>
      </w:r>
      <w:r w:rsidRPr="00693063">
        <w:rPr>
          <w:spacing w:val="-1"/>
          <w:lang w:val="el-GR"/>
        </w:rPr>
        <w:t>ν</w:t>
      </w:r>
      <w:r w:rsidRPr="00693063">
        <w:rPr>
          <w:lang w:val="el-GR"/>
        </w:rPr>
        <w:t>α</w:t>
      </w:r>
      <w:r w:rsidRPr="00693063">
        <w:rPr>
          <w:spacing w:val="7"/>
          <w:lang w:val="el-GR"/>
        </w:rPr>
        <w:t xml:space="preserve"> </w:t>
      </w:r>
      <w:r w:rsidRPr="00693063">
        <w:rPr>
          <w:lang w:val="el-GR"/>
        </w:rPr>
        <w:t>γί</w:t>
      </w:r>
      <w:r w:rsidRPr="00693063">
        <w:rPr>
          <w:spacing w:val="-1"/>
          <w:lang w:val="el-GR"/>
        </w:rPr>
        <w:t>ν</w:t>
      </w:r>
      <w:r w:rsidRPr="00693063">
        <w:rPr>
          <w:spacing w:val="1"/>
          <w:lang w:val="el-GR"/>
        </w:rPr>
        <w:t>ε</w:t>
      </w:r>
      <w:r w:rsidRPr="00693063">
        <w:rPr>
          <w:lang w:val="el-GR"/>
        </w:rPr>
        <w:t>ται</w:t>
      </w:r>
      <w:r w:rsidRPr="00693063">
        <w:rPr>
          <w:spacing w:val="3"/>
          <w:lang w:val="el-GR"/>
        </w:rPr>
        <w:t xml:space="preserve"> </w:t>
      </w:r>
      <w:r w:rsidRPr="00693063">
        <w:rPr>
          <w:spacing w:val="1"/>
          <w:lang w:val="el-GR"/>
        </w:rPr>
        <w:t>σελι</w:t>
      </w:r>
      <w:r w:rsidRPr="00693063">
        <w:rPr>
          <w:lang w:val="el-GR"/>
        </w:rPr>
        <w:t>δοπο</w:t>
      </w:r>
      <w:r w:rsidRPr="00693063">
        <w:rPr>
          <w:spacing w:val="1"/>
          <w:lang w:val="el-GR"/>
        </w:rPr>
        <w:t>ίη</w:t>
      </w:r>
      <w:r w:rsidRPr="00693063">
        <w:rPr>
          <w:lang w:val="el-GR"/>
        </w:rPr>
        <w:t>ση</w:t>
      </w:r>
      <w:r w:rsidRPr="00693063">
        <w:rPr>
          <w:spacing w:val="-6"/>
          <w:lang w:val="el-GR"/>
        </w:rPr>
        <w:t xml:space="preserve"> </w:t>
      </w:r>
      <w:r w:rsidRPr="00693063">
        <w:rPr>
          <w:lang w:val="el-GR"/>
        </w:rPr>
        <w:t>ως</w:t>
      </w:r>
      <w:r w:rsidRPr="00693063">
        <w:rPr>
          <w:spacing w:val="5"/>
          <w:lang w:val="el-GR"/>
        </w:rPr>
        <w:t xml:space="preserve"> </w:t>
      </w:r>
      <w:r w:rsidRPr="00693063">
        <w:rPr>
          <w:lang w:val="el-GR"/>
        </w:rPr>
        <w:t>συνέχεια</w:t>
      </w:r>
      <w:r w:rsidRPr="00693063">
        <w:rPr>
          <w:spacing w:val="-1"/>
          <w:lang w:val="el-GR"/>
        </w:rPr>
        <w:t xml:space="preserve"> </w:t>
      </w:r>
      <w:r w:rsidRPr="00693063">
        <w:rPr>
          <w:lang w:val="el-GR"/>
        </w:rPr>
        <w:t>τ</w:t>
      </w:r>
      <w:r w:rsidRPr="00693063">
        <w:rPr>
          <w:spacing w:val="1"/>
          <w:lang w:val="el-GR"/>
        </w:rPr>
        <w:t>η</w:t>
      </w:r>
      <w:r w:rsidRPr="00693063">
        <w:rPr>
          <w:lang w:val="el-GR"/>
        </w:rPr>
        <w:t>ς προηγούμ</w:t>
      </w:r>
      <w:r w:rsidRPr="00693063">
        <w:rPr>
          <w:spacing w:val="2"/>
          <w:lang w:val="el-GR"/>
        </w:rPr>
        <w:t>ε</w:t>
      </w:r>
      <w:r w:rsidRPr="00693063">
        <w:rPr>
          <w:lang w:val="el-GR"/>
        </w:rPr>
        <w:t>νης.</w:t>
      </w:r>
      <w:r w:rsidRPr="00693063">
        <w:rPr>
          <w:spacing w:val="1"/>
          <w:lang w:val="el-GR"/>
        </w:rPr>
        <w:t xml:space="preserve"> </w:t>
      </w:r>
      <w:r w:rsidRPr="00693063">
        <w:rPr>
          <w:lang w:val="el-GR"/>
        </w:rPr>
        <w:t>Σε</w:t>
      </w:r>
      <w:r w:rsidRPr="00693063">
        <w:rPr>
          <w:spacing w:val="13"/>
          <w:lang w:val="el-GR"/>
        </w:rPr>
        <w:t xml:space="preserve"> </w:t>
      </w:r>
      <w:r w:rsidRPr="00693063">
        <w:rPr>
          <w:lang w:val="el-GR"/>
        </w:rPr>
        <w:t>περ</w:t>
      </w:r>
      <w:r w:rsidRPr="00693063">
        <w:rPr>
          <w:spacing w:val="2"/>
          <w:lang w:val="el-GR"/>
        </w:rPr>
        <w:t>ί</w:t>
      </w:r>
      <w:r w:rsidRPr="00693063">
        <w:rPr>
          <w:lang w:val="el-GR"/>
        </w:rPr>
        <w:t>πτωση</w:t>
      </w:r>
      <w:r w:rsidRPr="00693063">
        <w:rPr>
          <w:spacing w:val="5"/>
          <w:lang w:val="el-GR"/>
        </w:rPr>
        <w:t xml:space="preserve"> </w:t>
      </w:r>
      <w:r w:rsidRPr="00693063">
        <w:rPr>
          <w:lang w:val="el-GR"/>
        </w:rPr>
        <w:t>πολλών</w:t>
      </w:r>
      <w:r w:rsidRPr="00693063">
        <w:rPr>
          <w:spacing w:val="6"/>
          <w:lang w:val="el-GR"/>
        </w:rPr>
        <w:t xml:space="preserve"> </w:t>
      </w:r>
      <w:r w:rsidRPr="00693063">
        <w:rPr>
          <w:lang w:val="el-GR"/>
        </w:rPr>
        <w:t>παρ</w:t>
      </w:r>
      <w:r w:rsidRPr="00693063">
        <w:rPr>
          <w:spacing w:val="1"/>
          <w:lang w:val="el-GR"/>
        </w:rPr>
        <w:t>αρ</w:t>
      </w:r>
      <w:r w:rsidRPr="00693063">
        <w:rPr>
          <w:lang w:val="el-GR"/>
        </w:rPr>
        <w:t>τημά</w:t>
      </w:r>
      <w:r w:rsidRPr="00693063">
        <w:rPr>
          <w:spacing w:val="1"/>
          <w:lang w:val="el-GR"/>
        </w:rPr>
        <w:t>τ</w:t>
      </w:r>
      <w:r w:rsidRPr="00693063">
        <w:rPr>
          <w:lang w:val="el-GR"/>
        </w:rPr>
        <w:t>ων πρέπει</w:t>
      </w:r>
      <w:r w:rsidRPr="00693063">
        <w:rPr>
          <w:spacing w:val="8"/>
          <w:lang w:val="el-GR"/>
        </w:rPr>
        <w:t xml:space="preserve"> </w:t>
      </w:r>
      <w:r w:rsidRPr="00693063">
        <w:rPr>
          <w:spacing w:val="-1"/>
          <w:lang w:val="el-GR"/>
        </w:rPr>
        <w:t>ν</w:t>
      </w:r>
      <w:r w:rsidRPr="00693063">
        <w:rPr>
          <w:lang w:val="el-GR"/>
        </w:rPr>
        <w:t>α</w:t>
      </w:r>
      <w:r w:rsidRPr="00693063">
        <w:rPr>
          <w:spacing w:val="13"/>
          <w:lang w:val="el-GR"/>
        </w:rPr>
        <w:t xml:space="preserve"> </w:t>
      </w:r>
      <w:r w:rsidRPr="00693063">
        <w:rPr>
          <w:lang w:val="el-GR"/>
        </w:rPr>
        <w:t>χ</w:t>
      </w:r>
      <w:r w:rsidRPr="00693063">
        <w:rPr>
          <w:spacing w:val="1"/>
          <w:lang w:val="el-GR"/>
        </w:rPr>
        <w:t>ω</w:t>
      </w:r>
      <w:r w:rsidRPr="00693063">
        <w:rPr>
          <w:lang w:val="el-GR"/>
        </w:rPr>
        <w:t>ρίζονται</w:t>
      </w:r>
      <w:r w:rsidRPr="00693063">
        <w:rPr>
          <w:spacing w:val="4"/>
          <w:lang w:val="el-GR"/>
        </w:rPr>
        <w:t xml:space="preserve"> </w:t>
      </w:r>
      <w:r w:rsidRPr="00693063">
        <w:rPr>
          <w:lang w:val="el-GR"/>
        </w:rPr>
        <w:t>σε</w:t>
      </w:r>
      <w:r w:rsidRPr="00693063">
        <w:rPr>
          <w:spacing w:val="14"/>
          <w:lang w:val="el-GR"/>
        </w:rPr>
        <w:t xml:space="preserve"> </w:t>
      </w:r>
      <w:r w:rsidRPr="00693063">
        <w:rPr>
          <w:lang w:val="el-GR"/>
        </w:rPr>
        <w:t>μέρη δηλαδή</w:t>
      </w:r>
      <w:r w:rsidRPr="00693063">
        <w:rPr>
          <w:spacing w:val="-7"/>
          <w:lang w:val="el-GR"/>
        </w:rPr>
        <w:t xml:space="preserve"> </w:t>
      </w:r>
      <w:r w:rsidRPr="00693063">
        <w:rPr>
          <w:lang w:val="el-GR"/>
        </w:rPr>
        <w:t>Παράρτημα</w:t>
      </w:r>
      <w:r w:rsidRPr="00693063">
        <w:rPr>
          <w:spacing w:val="-10"/>
          <w:lang w:val="el-GR"/>
        </w:rPr>
        <w:t xml:space="preserve"> </w:t>
      </w:r>
      <w:r w:rsidRPr="00693063">
        <w:t>I</w:t>
      </w:r>
      <w:r w:rsidRPr="00693063">
        <w:rPr>
          <w:lang w:val="el-GR"/>
        </w:rPr>
        <w:t xml:space="preserve">, </w:t>
      </w:r>
      <w:r w:rsidRPr="00693063">
        <w:rPr>
          <w:spacing w:val="1"/>
          <w:lang w:val="el-GR"/>
        </w:rPr>
        <w:t>Π</w:t>
      </w:r>
      <w:r w:rsidRPr="00693063">
        <w:rPr>
          <w:lang w:val="el-GR"/>
        </w:rPr>
        <w:t>αράρτ</w:t>
      </w:r>
      <w:r w:rsidRPr="00693063">
        <w:rPr>
          <w:spacing w:val="1"/>
          <w:lang w:val="el-GR"/>
        </w:rPr>
        <w:t>η</w:t>
      </w:r>
      <w:r w:rsidRPr="00693063">
        <w:rPr>
          <w:spacing w:val="-1"/>
          <w:lang w:val="el-GR"/>
        </w:rPr>
        <w:t>μ</w:t>
      </w:r>
      <w:r w:rsidRPr="00693063">
        <w:rPr>
          <w:lang w:val="el-GR"/>
        </w:rPr>
        <w:t>α</w:t>
      </w:r>
      <w:r w:rsidRPr="00693063">
        <w:rPr>
          <w:spacing w:val="-10"/>
          <w:lang w:val="el-GR"/>
        </w:rPr>
        <w:t xml:space="preserve"> </w:t>
      </w:r>
      <w:r w:rsidRPr="00693063">
        <w:t>II</w:t>
      </w:r>
      <w:r w:rsidR="00D54D8C" w:rsidRPr="00D54D8C">
        <w:rPr>
          <w:lang w:val="el-GR"/>
        </w:rPr>
        <w:t>,</w:t>
      </w:r>
      <w:r w:rsidRPr="00693063">
        <w:rPr>
          <w:lang w:val="el-GR"/>
        </w:rPr>
        <w:t xml:space="preserve"> </w:t>
      </w:r>
      <w:r w:rsidRPr="00693063">
        <w:rPr>
          <w:spacing w:val="1"/>
          <w:lang w:val="el-GR"/>
        </w:rPr>
        <w:t>κλ</w:t>
      </w:r>
      <w:r w:rsidR="00D54D8C">
        <w:rPr>
          <w:lang w:val="el-GR"/>
        </w:rPr>
        <w:t>π.</w:t>
      </w:r>
    </w:p>
    <w:p w:rsidR="00E962CB" w:rsidRPr="00693063" w:rsidRDefault="00E962CB" w:rsidP="00F63045">
      <w:pPr>
        <w:rPr>
          <w:rFonts w:cs="Calibri Light"/>
          <w:szCs w:val="24"/>
          <w:lang w:val="el-GR"/>
        </w:rPr>
      </w:pPr>
    </w:p>
    <w:sectPr w:rsidR="00E962CB" w:rsidRPr="00693063" w:rsidSect="00210547">
      <w:pgSz w:w="11920" w:h="16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180A"/>
    <w:multiLevelType w:val="hybridMultilevel"/>
    <w:tmpl w:val="EAEE3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4A3B7D"/>
    <w:multiLevelType w:val="hybridMultilevel"/>
    <w:tmpl w:val="CCD6AAE6"/>
    <w:lvl w:ilvl="0" w:tplc="31CE015A">
      <w:start w:val="1"/>
      <w:numFmt w:val="bullet"/>
      <w:lvlText w:val="−"/>
      <w:lvlJc w:val="center"/>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A02AD8"/>
    <w:multiLevelType w:val="hybridMultilevel"/>
    <w:tmpl w:val="9C981304"/>
    <w:lvl w:ilvl="0" w:tplc="31CE015A">
      <w:start w:val="1"/>
      <w:numFmt w:val="bullet"/>
      <w:lvlText w:val="−"/>
      <w:lvlJc w:val="center"/>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CD2D74"/>
    <w:multiLevelType w:val="hybridMultilevel"/>
    <w:tmpl w:val="D8804126"/>
    <w:lvl w:ilvl="0" w:tplc="31CE015A">
      <w:start w:val="1"/>
      <w:numFmt w:val="bullet"/>
      <w:lvlText w:val="−"/>
      <w:lvlJc w:val="center"/>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955CDC"/>
    <w:multiLevelType w:val="hybridMultilevel"/>
    <w:tmpl w:val="986048FC"/>
    <w:lvl w:ilvl="0" w:tplc="82F680AA">
      <w:start w:val="1"/>
      <w:numFmt w:val="decimal"/>
      <w:lvlText w:val="%1."/>
      <w:lvlJc w:val="left"/>
      <w:pPr>
        <w:ind w:left="750" w:hanging="39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85D15"/>
    <w:multiLevelType w:val="hybridMultilevel"/>
    <w:tmpl w:val="6480F38C"/>
    <w:lvl w:ilvl="0" w:tplc="31CE015A">
      <w:start w:val="1"/>
      <w:numFmt w:val="bullet"/>
      <w:lvlText w:val="−"/>
      <w:lvlJc w:val="center"/>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382006F"/>
    <w:multiLevelType w:val="hybridMultilevel"/>
    <w:tmpl w:val="A2C6FF82"/>
    <w:lvl w:ilvl="0" w:tplc="31CE015A">
      <w:start w:val="1"/>
      <w:numFmt w:val="bullet"/>
      <w:lvlText w:val="−"/>
      <w:lvlJc w:val="center"/>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C"/>
    <w:rsid w:val="000044FB"/>
    <w:rsid w:val="00005D1A"/>
    <w:rsid w:val="00044414"/>
    <w:rsid w:val="000445E9"/>
    <w:rsid w:val="0005313C"/>
    <w:rsid w:val="00060470"/>
    <w:rsid w:val="00062F60"/>
    <w:rsid w:val="00066FFE"/>
    <w:rsid w:val="000907C3"/>
    <w:rsid w:val="000A25FB"/>
    <w:rsid w:val="000F7687"/>
    <w:rsid w:val="00101D69"/>
    <w:rsid w:val="00102920"/>
    <w:rsid w:val="0011548A"/>
    <w:rsid w:val="00125634"/>
    <w:rsid w:val="00144BFA"/>
    <w:rsid w:val="001537D8"/>
    <w:rsid w:val="00173DD9"/>
    <w:rsid w:val="00183D4D"/>
    <w:rsid w:val="00185526"/>
    <w:rsid w:val="00192803"/>
    <w:rsid w:val="001B01C1"/>
    <w:rsid w:val="001C1C6A"/>
    <w:rsid w:val="001C53E3"/>
    <w:rsid w:val="001D2134"/>
    <w:rsid w:val="001D789A"/>
    <w:rsid w:val="00202388"/>
    <w:rsid w:val="00210547"/>
    <w:rsid w:val="002354CF"/>
    <w:rsid w:val="0024682D"/>
    <w:rsid w:val="00263636"/>
    <w:rsid w:val="00273720"/>
    <w:rsid w:val="00274C37"/>
    <w:rsid w:val="00296968"/>
    <w:rsid w:val="002C3168"/>
    <w:rsid w:val="002D0FAD"/>
    <w:rsid w:val="00313CE9"/>
    <w:rsid w:val="0033596B"/>
    <w:rsid w:val="0033677A"/>
    <w:rsid w:val="00336D1C"/>
    <w:rsid w:val="00347FAB"/>
    <w:rsid w:val="00356383"/>
    <w:rsid w:val="003638AD"/>
    <w:rsid w:val="00380A55"/>
    <w:rsid w:val="00381641"/>
    <w:rsid w:val="00382685"/>
    <w:rsid w:val="0038472A"/>
    <w:rsid w:val="00387234"/>
    <w:rsid w:val="003956BB"/>
    <w:rsid w:val="003B0387"/>
    <w:rsid w:val="003B446C"/>
    <w:rsid w:val="003B654A"/>
    <w:rsid w:val="003C00E2"/>
    <w:rsid w:val="003C5364"/>
    <w:rsid w:val="003E5575"/>
    <w:rsid w:val="003F6309"/>
    <w:rsid w:val="00424654"/>
    <w:rsid w:val="004335C0"/>
    <w:rsid w:val="004550B1"/>
    <w:rsid w:val="004902E1"/>
    <w:rsid w:val="004902F5"/>
    <w:rsid w:val="004A6F42"/>
    <w:rsid w:val="004B5333"/>
    <w:rsid w:val="004D5770"/>
    <w:rsid w:val="004F40DC"/>
    <w:rsid w:val="00500CF5"/>
    <w:rsid w:val="0051283E"/>
    <w:rsid w:val="00517B81"/>
    <w:rsid w:val="00534C03"/>
    <w:rsid w:val="00536190"/>
    <w:rsid w:val="00565CCE"/>
    <w:rsid w:val="00572E16"/>
    <w:rsid w:val="00590358"/>
    <w:rsid w:val="0059494D"/>
    <w:rsid w:val="005D3984"/>
    <w:rsid w:val="005E483F"/>
    <w:rsid w:val="005F59BC"/>
    <w:rsid w:val="0061699D"/>
    <w:rsid w:val="00631276"/>
    <w:rsid w:val="00646998"/>
    <w:rsid w:val="00674BCB"/>
    <w:rsid w:val="00686ADE"/>
    <w:rsid w:val="00687FF7"/>
    <w:rsid w:val="0069260E"/>
    <w:rsid w:val="00692AA1"/>
    <w:rsid w:val="00693063"/>
    <w:rsid w:val="006B76F9"/>
    <w:rsid w:val="006C1D2D"/>
    <w:rsid w:val="006C61AC"/>
    <w:rsid w:val="00731C1F"/>
    <w:rsid w:val="007532DC"/>
    <w:rsid w:val="00761AA5"/>
    <w:rsid w:val="007648FE"/>
    <w:rsid w:val="00786CA9"/>
    <w:rsid w:val="00795DD6"/>
    <w:rsid w:val="007C41AE"/>
    <w:rsid w:val="007C634D"/>
    <w:rsid w:val="007F0D0E"/>
    <w:rsid w:val="00844A38"/>
    <w:rsid w:val="0088492F"/>
    <w:rsid w:val="008A15DF"/>
    <w:rsid w:val="008D6D41"/>
    <w:rsid w:val="008E172E"/>
    <w:rsid w:val="008E738B"/>
    <w:rsid w:val="008F144E"/>
    <w:rsid w:val="008F6750"/>
    <w:rsid w:val="009425A5"/>
    <w:rsid w:val="00952CA6"/>
    <w:rsid w:val="00955FE9"/>
    <w:rsid w:val="009623F0"/>
    <w:rsid w:val="00964660"/>
    <w:rsid w:val="009673BC"/>
    <w:rsid w:val="00985804"/>
    <w:rsid w:val="00994FB4"/>
    <w:rsid w:val="00995101"/>
    <w:rsid w:val="009B64E3"/>
    <w:rsid w:val="009C6B0A"/>
    <w:rsid w:val="009D7C2B"/>
    <w:rsid w:val="009F25AB"/>
    <w:rsid w:val="009F2BDC"/>
    <w:rsid w:val="009F3277"/>
    <w:rsid w:val="009F697D"/>
    <w:rsid w:val="00A175B4"/>
    <w:rsid w:val="00A60C94"/>
    <w:rsid w:val="00A7568C"/>
    <w:rsid w:val="00AA2BE0"/>
    <w:rsid w:val="00AA3A87"/>
    <w:rsid w:val="00AD3980"/>
    <w:rsid w:val="00B079C0"/>
    <w:rsid w:val="00B20555"/>
    <w:rsid w:val="00B31C55"/>
    <w:rsid w:val="00B41861"/>
    <w:rsid w:val="00B47DD8"/>
    <w:rsid w:val="00B638DB"/>
    <w:rsid w:val="00B746D4"/>
    <w:rsid w:val="00B87DD5"/>
    <w:rsid w:val="00BD01E6"/>
    <w:rsid w:val="00BE306A"/>
    <w:rsid w:val="00BF04F8"/>
    <w:rsid w:val="00C0258E"/>
    <w:rsid w:val="00C030D4"/>
    <w:rsid w:val="00C04F37"/>
    <w:rsid w:val="00C6732A"/>
    <w:rsid w:val="00C93634"/>
    <w:rsid w:val="00CA60B1"/>
    <w:rsid w:val="00CD3079"/>
    <w:rsid w:val="00CF026B"/>
    <w:rsid w:val="00D01DA0"/>
    <w:rsid w:val="00D07933"/>
    <w:rsid w:val="00D07C2C"/>
    <w:rsid w:val="00D254A7"/>
    <w:rsid w:val="00D34A97"/>
    <w:rsid w:val="00D54D8C"/>
    <w:rsid w:val="00D93367"/>
    <w:rsid w:val="00DC1C2F"/>
    <w:rsid w:val="00DD27F1"/>
    <w:rsid w:val="00E13DAB"/>
    <w:rsid w:val="00E80D90"/>
    <w:rsid w:val="00E848E7"/>
    <w:rsid w:val="00E915C2"/>
    <w:rsid w:val="00E92C61"/>
    <w:rsid w:val="00E962CB"/>
    <w:rsid w:val="00F046DD"/>
    <w:rsid w:val="00F04E52"/>
    <w:rsid w:val="00F1139E"/>
    <w:rsid w:val="00F22253"/>
    <w:rsid w:val="00F24A3A"/>
    <w:rsid w:val="00F31F89"/>
    <w:rsid w:val="00F37DD7"/>
    <w:rsid w:val="00F4363A"/>
    <w:rsid w:val="00F63045"/>
    <w:rsid w:val="00F651B3"/>
    <w:rsid w:val="00F71F0E"/>
    <w:rsid w:val="00FD5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9924"/>
  <w15:docId w15:val="{2CD3C3B8-B766-4535-88D4-7FB3E244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ESL-Βασικό κείμενο"/>
    <w:qFormat/>
    <w:rsid w:val="00687FF7"/>
    <w:pPr>
      <w:spacing w:after="120"/>
      <w:jc w:val="both"/>
    </w:pPr>
    <w:rPr>
      <w:rFonts w:ascii="Calibri Light" w:hAnsi="Calibri Light"/>
      <w:sz w:val="24"/>
      <w:lang w:val="en-GB"/>
    </w:rPr>
  </w:style>
  <w:style w:type="paragraph" w:styleId="Heading1">
    <w:name w:val="heading 1"/>
    <w:aliases w:val="IEESL"/>
    <w:next w:val="Normal"/>
    <w:link w:val="Heading1Char"/>
    <w:uiPriority w:val="9"/>
    <w:qFormat/>
    <w:rsid w:val="00347FAB"/>
    <w:pPr>
      <w:keepNext/>
      <w:keepLines/>
      <w:spacing w:after="0" w:line="240" w:lineRule="auto"/>
      <w:ind w:right="57"/>
      <w:jc w:val="both"/>
      <w:outlineLvl w:val="0"/>
    </w:pPr>
    <w:rPr>
      <w:rFonts w:ascii="Calibri Light" w:eastAsiaTheme="majorEastAsia" w:hAnsi="Calibri Light" w:cstheme="majorBidi"/>
      <w:b/>
      <w:bCs/>
      <w:sz w:val="32"/>
      <w:szCs w:val="28"/>
      <w:lang w:val="en-GB"/>
    </w:rPr>
  </w:style>
  <w:style w:type="paragraph" w:styleId="Heading2">
    <w:name w:val="heading 2"/>
    <w:aliases w:val="IΕΕSL"/>
    <w:basedOn w:val="Normal"/>
    <w:next w:val="Normal"/>
    <w:link w:val="Heading2Char"/>
    <w:uiPriority w:val="9"/>
    <w:unhideWhenUsed/>
    <w:qFormat/>
    <w:rsid w:val="000A25FB"/>
    <w:pPr>
      <w:keepNext/>
      <w:keepLines/>
      <w:spacing w:after="0" w:line="240" w:lineRule="auto"/>
      <w:ind w:right="1576"/>
      <w:outlineLvl w:val="1"/>
    </w:pPr>
    <w:rPr>
      <w:rFonts w:eastAsiaTheme="majorEastAsia" w:cstheme="majorBidi"/>
      <w:b/>
      <w:bCs/>
      <w:sz w:val="28"/>
      <w:szCs w:val="26"/>
    </w:rPr>
  </w:style>
  <w:style w:type="paragraph" w:styleId="Heading3">
    <w:name w:val="heading 3"/>
    <w:aliases w:val="ΙΕΕSL"/>
    <w:basedOn w:val="Normal"/>
    <w:next w:val="Normal"/>
    <w:link w:val="Heading3Char"/>
    <w:uiPriority w:val="9"/>
    <w:unhideWhenUsed/>
    <w:qFormat/>
    <w:rsid w:val="00686ADE"/>
    <w:pPr>
      <w:keepNext/>
      <w:keepLines/>
      <w:spacing w:after="0" w:line="240" w:lineRule="auto"/>
      <w:ind w:right="62"/>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534C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DF"/>
    <w:rPr>
      <w:rFonts w:ascii="Tahoma" w:hAnsi="Tahoma" w:cs="Tahoma"/>
      <w:sz w:val="16"/>
      <w:szCs w:val="16"/>
      <w:lang w:val="en-GB"/>
    </w:rPr>
  </w:style>
  <w:style w:type="paragraph" w:styleId="ListParagraph">
    <w:name w:val="List Paragraph"/>
    <w:basedOn w:val="Normal"/>
    <w:uiPriority w:val="34"/>
    <w:rsid w:val="00210547"/>
    <w:pPr>
      <w:ind w:left="720"/>
      <w:contextualSpacing/>
    </w:pPr>
  </w:style>
  <w:style w:type="paragraph" w:customStyle="1" w:styleId="Default">
    <w:name w:val="Default"/>
    <w:rsid w:val="008E738B"/>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customStyle="1" w:styleId="Heading2Char">
    <w:name w:val="Heading 2 Char"/>
    <w:aliases w:val="IΕΕSL Char"/>
    <w:basedOn w:val="DefaultParagraphFont"/>
    <w:link w:val="Heading2"/>
    <w:uiPriority w:val="9"/>
    <w:rsid w:val="000A25FB"/>
    <w:rPr>
      <w:rFonts w:ascii="Calibri Light" w:eastAsiaTheme="majorEastAsia" w:hAnsi="Calibri Light" w:cstheme="majorBidi"/>
      <w:b/>
      <w:bCs/>
      <w:sz w:val="28"/>
      <w:szCs w:val="26"/>
      <w:lang w:val="en-GB"/>
    </w:rPr>
  </w:style>
  <w:style w:type="character" w:customStyle="1" w:styleId="Heading1Char">
    <w:name w:val="Heading 1 Char"/>
    <w:aliases w:val="IEESL Char"/>
    <w:basedOn w:val="DefaultParagraphFont"/>
    <w:link w:val="Heading1"/>
    <w:uiPriority w:val="9"/>
    <w:rsid w:val="00347FAB"/>
    <w:rPr>
      <w:rFonts w:ascii="Calibri Light" w:eastAsiaTheme="majorEastAsia" w:hAnsi="Calibri Light" w:cstheme="majorBidi"/>
      <w:b/>
      <w:bCs/>
      <w:sz w:val="32"/>
      <w:szCs w:val="28"/>
      <w:lang w:val="en-GB"/>
    </w:rPr>
  </w:style>
  <w:style w:type="paragraph" w:styleId="NoSpacing">
    <w:name w:val="No Spacing"/>
    <w:aliases w:val="IEESL-Εξ. Τιτλος"/>
    <w:uiPriority w:val="1"/>
    <w:qFormat/>
    <w:rsid w:val="004550B1"/>
    <w:pPr>
      <w:spacing w:after="120" w:line="240" w:lineRule="auto"/>
      <w:jc w:val="center"/>
    </w:pPr>
    <w:rPr>
      <w:rFonts w:ascii="Calibri Light" w:hAnsi="Calibri Light"/>
      <w:sz w:val="80"/>
      <w:lang w:val="en-GB"/>
    </w:rPr>
  </w:style>
  <w:style w:type="paragraph" w:styleId="Title">
    <w:name w:val="Title"/>
    <w:basedOn w:val="Normal"/>
    <w:next w:val="Normal"/>
    <w:link w:val="TitleChar"/>
    <w:uiPriority w:val="10"/>
    <w:rsid w:val="00CA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60B1"/>
    <w:rPr>
      <w:rFonts w:asciiTheme="majorHAnsi" w:eastAsiaTheme="majorEastAsia" w:hAnsiTheme="majorHAnsi" w:cstheme="majorBidi"/>
      <w:color w:val="17365D" w:themeColor="text2" w:themeShade="BF"/>
      <w:spacing w:val="5"/>
      <w:kern w:val="28"/>
      <w:sz w:val="52"/>
      <w:szCs w:val="52"/>
      <w:lang w:val="en-GB"/>
    </w:rPr>
  </w:style>
  <w:style w:type="paragraph" w:customStyle="1" w:styleId="IEESL-">
    <w:name w:val="IEESL-Εξ. Όνομα φοιτητή"/>
    <w:next w:val="Normal"/>
    <w:qFormat/>
    <w:rsid w:val="00994FB4"/>
    <w:pPr>
      <w:spacing w:before="600" w:after="240" w:line="240" w:lineRule="auto"/>
      <w:jc w:val="center"/>
    </w:pPr>
    <w:rPr>
      <w:rFonts w:ascii="Calibri Light" w:eastAsia="Times New Roman" w:hAnsi="Calibri Light" w:cs="Arial"/>
      <w:bCs/>
      <w:sz w:val="52"/>
      <w:szCs w:val="20"/>
      <w:lang w:eastAsia="el-GR"/>
    </w:rPr>
  </w:style>
  <w:style w:type="paragraph" w:customStyle="1" w:styleId="IEESL-0">
    <w:name w:val="IEESL-Εξ. Επιβλέπων"/>
    <w:next w:val="Normal"/>
    <w:qFormat/>
    <w:rsid w:val="00CD3079"/>
    <w:pPr>
      <w:spacing w:before="600" w:after="240" w:line="240" w:lineRule="auto"/>
      <w:jc w:val="center"/>
    </w:pPr>
    <w:rPr>
      <w:rFonts w:ascii="Calibri Light" w:eastAsia="Times New Roman" w:hAnsi="Calibri Light" w:cs="Arial"/>
      <w:bCs/>
      <w:sz w:val="44"/>
      <w:szCs w:val="20"/>
      <w:lang w:eastAsia="el-GR"/>
    </w:rPr>
  </w:style>
  <w:style w:type="paragraph" w:customStyle="1" w:styleId="IEESL-1">
    <w:name w:val="IEESL-Εξ. Ημερομηνία"/>
    <w:next w:val="Normal"/>
    <w:qFormat/>
    <w:rsid w:val="00D01DA0"/>
    <w:pPr>
      <w:spacing w:before="600" w:after="240" w:line="240" w:lineRule="auto"/>
      <w:jc w:val="center"/>
    </w:pPr>
    <w:rPr>
      <w:rFonts w:ascii="Calibri Light" w:eastAsia="Times New Roman" w:hAnsi="Calibri Light" w:cs="Arial"/>
      <w:b/>
      <w:bCs/>
      <w:sz w:val="40"/>
      <w:szCs w:val="20"/>
      <w:lang w:eastAsia="el-GR"/>
    </w:rPr>
  </w:style>
  <w:style w:type="paragraph" w:customStyle="1" w:styleId="IEESL-2">
    <w:name w:val="IEESL-Τίτλοι"/>
    <w:next w:val="Normal"/>
    <w:rsid w:val="00F1139E"/>
    <w:pPr>
      <w:spacing w:before="600" w:after="240" w:line="240" w:lineRule="auto"/>
      <w:jc w:val="both"/>
    </w:pPr>
    <w:rPr>
      <w:rFonts w:ascii="Calibri Light" w:eastAsia="Times New Roman" w:hAnsi="Calibri Light" w:cs="Arial"/>
      <w:b/>
      <w:bCs/>
      <w:sz w:val="32"/>
      <w:szCs w:val="20"/>
      <w:lang w:eastAsia="el-GR"/>
    </w:rPr>
  </w:style>
  <w:style w:type="paragraph" w:customStyle="1" w:styleId="IEESL-3">
    <w:name w:val="IEESL-Κεφάλαια"/>
    <w:next w:val="Normal"/>
    <w:qFormat/>
    <w:rsid w:val="00F22253"/>
    <w:pPr>
      <w:spacing w:after="300"/>
    </w:pPr>
    <w:rPr>
      <w:rFonts w:ascii="Calibri Light" w:eastAsia="Times New Roman" w:hAnsi="Calibri Light" w:cs="Arial"/>
      <w:b/>
      <w:bCs/>
      <w:sz w:val="96"/>
      <w:szCs w:val="20"/>
      <w:lang w:eastAsia="el-GR"/>
    </w:rPr>
  </w:style>
  <w:style w:type="paragraph" w:customStyle="1" w:styleId="IEESL-4">
    <w:name w:val="IEESL-Κεφ. Επεξηγησεις"/>
    <w:next w:val="Normal"/>
    <w:rsid w:val="00FD5D1A"/>
    <w:pPr>
      <w:spacing w:after="300"/>
    </w:pPr>
    <w:rPr>
      <w:rFonts w:ascii="Calibri Light" w:eastAsia="Times New Roman" w:hAnsi="Calibri Light" w:cs="Arial"/>
      <w:bCs/>
      <w:sz w:val="56"/>
      <w:szCs w:val="20"/>
      <w:lang w:eastAsia="el-GR"/>
    </w:rPr>
  </w:style>
  <w:style w:type="character" w:customStyle="1" w:styleId="Heading3Char">
    <w:name w:val="Heading 3 Char"/>
    <w:aliases w:val="ΙΕΕSL Char"/>
    <w:basedOn w:val="DefaultParagraphFont"/>
    <w:link w:val="Heading3"/>
    <w:uiPriority w:val="9"/>
    <w:rsid w:val="00686ADE"/>
    <w:rPr>
      <w:rFonts w:ascii="Calibri Light" w:eastAsiaTheme="majorEastAsia" w:hAnsi="Calibri Light" w:cstheme="majorBidi"/>
      <w:b/>
      <w:bCs/>
      <w:sz w:val="24"/>
      <w:lang w:val="en-GB"/>
    </w:rPr>
  </w:style>
  <w:style w:type="paragraph" w:customStyle="1" w:styleId="IEESL-5">
    <w:name w:val="IEESL-Λεζάντα"/>
    <w:basedOn w:val="Normal"/>
    <w:next w:val="Normal"/>
    <w:qFormat/>
    <w:rsid w:val="002C3168"/>
    <w:pPr>
      <w:widowControl w:val="0"/>
      <w:spacing w:before="80" w:after="240" w:line="240" w:lineRule="auto"/>
      <w:jc w:val="center"/>
    </w:pPr>
    <w:rPr>
      <w:rFonts w:eastAsia="Times New Roman" w:cs="Arial"/>
      <w:sz w:val="20"/>
      <w:szCs w:val="20"/>
      <w:lang w:val="el-GR" w:eastAsia="el-GR"/>
    </w:rPr>
  </w:style>
  <w:style w:type="paragraph" w:customStyle="1" w:styleId="IEESL-6">
    <w:name w:val="IEESL-Πίνακας"/>
    <w:basedOn w:val="Default"/>
    <w:qFormat/>
    <w:rsid w:val="0024682D"/>
    <w:pPr>
      <w:spacing w:before="60" w:after="60"/>
      <w:jc w:val="center"/>
    </w:pPr>
    <w:rPr>
      <w:rFonts w:ascii="Calibri Light" w:hAnsi="Calibri Light" w:cs="Arial"/>
      <w:bCs/>
      <w:iCs/>
      <w:sz w:val="22"/>
      <w:szCs w:val="20"/>
      <w:lang w:val="el-GR" w:eastAsia="el-GR"/>
    </w:rPr>
  </w:style>
  <w:style w:type="character" w:customStyle="1" w:styleId="Heading6Char">
    <w:name w:val="Heading 6 Char"/>
    <w:basedOn w:val="DefaultParagraphFont"/>
    <w:link w:val="Heading6"/>
    <w:uiPriority w:val="9"/>
    <w:semiHidden/>
    <w:rsid w:val="00534C03"/>
    <w:rPr>
      <w:rFonts w:asciiTheme="majorHAnsi" w:eastAsiaTheme="majorEastAsia" w:hAnsiTheme="majorHAnsi" w:cstheme="majorBidi"/>
      <w:i/>
      <w:iCs/>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png@01D706B7.0151F8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71BE3AB-D568-4A6F-A25F-45186384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1479</Words>
  <Characters>8433</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TUC</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Papaefthimiou</dc:creator>
  <cp:lastModifiedBy>Spiros Papaefthimiou</cp:lastModifiedBy>
  <cp:revision>3</cp:revision>
  <dcterms:created xsi:type="dcterms:W3CDTF">2021-03-05T10:24:00Z</dcterms:created>
  <dcterms:modified xsi:type="dcterms:W3CDTF">2021-03-05T10:25:00Z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6301a8fa-320b-3158-9085-6a187d6367e5</vt:lpwstr>
  </property>
  <property fmtid="{D5CDD505-2E9C-101B-9397-08002B2CF9AE}" pid="24" name="Mendeley Citation Style_1">
    <vt:lpwstr>http://www.zotero.org/styles/ieee</vt:lpwstr>
  </property>
</Properties>
</file>